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line="265" w:lineRule="exact" w:before="11"/>
        <w:ind w:right="2577"/>
      </w:pPr>
      <w:bookmarkStart w:name="REIMBURSABLE AGREEMENT" w:id="1"/>
      <w:bookmarkEnd w:id="1"/>
      <w:r>
        <w:rPr>
          <w:b w:val="0"/>
        </w:rPr>
      </w:r>
      <w:r>
        <w:rPr/>
        <w:t>REIMBURSABLE AGREEMENT</w:t>
      </w:r>
    </w:p>
    <w:p>
      <w:pPr>
        <w:spacing w:line="208" w:lineRule="auto" w:before="18"/>
        <w:ind w:left="2239" w:right="2578" w:firstLine="0"/>
        <w:jc w:val="center"/>
        <w:rPr>
          <w:b/>
          <w:sz w:val="24"/>
        </w:rPr>
      </w:pPr>
      <w:r>
        <w:rPr>
          <w:b/>
          <w:sz w:val="24"/>
        </w:rPr>
        <w:t>FOR RELOCATION OF UTILITY FACILITIES ON PRIVATE OR PUBLIC RIGHT-OF-WAY</w:t>
      </w:r>
    </w:p>
    <w:p>
      <w:pPr>
        <w:spacing w:line="249" w:lineRule="exact" w:before="0"/>
        <w:ind w:left="0" w:right="340" w:firstLine="0"/>
        <w:jc w:val="center"/>
        <w:rPr>
          <w:b/>
          <w:sz w:val="24"/>
        </w:rPr>
      </w:pPr>
      <w:r>
        <w:rPr>
          <w:b/>
          <w:sz w:val="24"/>
        </w:rPr>
        <w:t>WORK TO BE PERFORMED BY STATE CONTRACTOR</w:t>
      </w:r>
    </w:p>
    <w:p>
      <w:pPr>
        <w:pStyle w:val="BodyText"/>
        <w:rPr>
          <w:b/>
          <w:sz w:val="26"/>
        </w:rPr>
      </w:pPr>
    </w:p>
    <w:p>
      <w:pPr>
        <w:pStyle w:val="BodyText"/>
        <w:spacing w:before="4"/>
        <w:rPr>
          <w:b/>
          <w:sz w:val="32"/>
        </w:rPr>
      </w:pPr>
    </w:p>
    <w:p>
      <w:pPr>
        <w:pStyle w:val="BodyText"/>
        <w:ind w:left="4920"/>
      </w:pPr>
      <w:r>
        <w:rPr/>
        <w:t>PROJECT NUMBER</w:t>
      </w:r>
    </w:p>
    <w:p>
      <w:pPr>
        <w:pStyle w:val="BodyText"/>
        <w:spacing w:before="9"/>
        <w:rPr>
          <w:sz w:val="21"/>
        </w:rPr>
      </w:pPr>
    </w:p>
    <w:p>
      <w:pPr>
        <w:pStyle w:val="BodyText"/>
        <w:tabs>
          <w:tab w:pos="523" w:val="left" w:leader="none"/>
          <w:tab w:pos="4919" w:val="left" w:leader="none"/>
          <w:tab w:pos="9364" w:val="left" w:leader="none"/>
        </w:tabs>
        <w:ind w:left="120"/>
      </w:pPr>
      <w:r>
        <w:rPr>
          <w:w w:val="99"/>
          <w:u w:val="single"/>
        </w:rPr>
        <w:t> </w:t>
      </w:r>
      <w:r>
        <w:rPr>
          <w:u w:val="single"/>
        </w:rPr>
        <w:tab/>
      </w:r>
      <w:r>
        <w:rPr/>
        <w:t>   </w:t>
      </w:r>
      <w:r>
        <w:rPr>
          <w:spacing w:val="-4"/>
        </w:rPr>
        <w:t> </w:t>
      </w:r>
      <w:r>
        <w:rPr/>
        <w:t>Private</w:t>
      </w:r>
      <w:r>
        <w:rPr>
          <w:spacing w:val="-8"/>
        </w:rPr>
        <w:t> </w:t>
      </w:r>
      <w:r>
        <w:rPr/>
        <w:t>Right-of-Way</w:t>
        <w:tab/>
        <w:t>Utilities</w:t>
      </w:r>
      <w:r>
        <w:rPr>
          <w:u w:val="single"/>
        </w:rPr>
        <w:t> </w:t>
        <w:tab/>
      </w:r>
    </w:p>
    <w:p>
      <w:pPr>
        <w:pStyle w:val="BodyText"/>
        <w:spacing w:before="9"/>
        <w:rPr>
          <w:sz w:val="13"/>
        </w:rPr>
      </w:pPr>
    </w:p>
    <w:p>
      <w:pPr>
        <w:pStyle w:val="BodyText"/>
        <w:tabs>
          <w:tab w:pos="523" w:val="left" w:leader="none"/>
          <w:tab w:pos="4919" w:val="left" w:leader="none"/>
          <w:tab w:pos="9403" w:val="left" w:leader="none"/>
        </w:tabs>
        <w:spacing w:before="91"/>
        <w:ind w:left="120"/>
      </w:pPr>
      <w:r>
        <w:rPr>
          <w:w w:val="99"/>
          <w:u w:val="single"/>
        </w:rPr>
        <w:t> </w:t>
      </w:r>
      <w:r>
        <w:rPr>
          <w:u w:val="single"/>
        </w:rPr>
        <w:tab/>
      </w:r>
      <w:r>
        <w:rPr/>
        <w:t>   </w:t>
      </w:r>
      <w:r>
        <w:rPr>
          <w:spacing w:val="-4"/>
        </w:rPr>
        <w:t> </w:t>
      </w:r>
      <w:r>
        <w:rPr/>
        <w:t>Public</w:t>
      </w:r>
      <w:r>
        <w:rPr>
          <w:spacing w:val="-6"/>
        </w:rPr>
        <w:t> </w:t>
      </w:r>
      <w:r>
        <w:rPr/>
        <w:t>Right-of-Way</w:t>
        <w:tab/>
        <w:t>Construction</w:t>
      </w:r>
      <w:r>
        <w:rPr>
          <w:spacing w:val="1"/>
        </w:rPr>
        <w:t> </w:t>
      </w:r>
      <w:r>
        <w:rPr>
          <w:w w:val="99"/>
          <w:u w:val="single"/>
        </w:rPr>
        <w:t> </w:t>
      </w:r>
      <w:r>
        <w:rPr>
          <w:u w:val="single"/>
        </w:rPr>
        <w:tab/>
      </w:r>
    </w:p>
    <w:p>
      <w:pPr>
        <w:pStyle w:val="BodyText"/>
      </w:pPr>
    </w:p>
    <w:p>
      <w:pPr>
        <w:pStyle w:val="BodyText"/>
        <w:spacing w:before="5"/>
        <w:rPr>
          <w:sz w:val="27"/>
        </w:rPr>
      </w:pPr>
    </w:p>
    <w:p>
      <w:pPr>
        <w:pStyle w:val="BodyText"/>
        <w:spacing w:line="376" w:lineRule="auto" w:before="91"/>
        <w:ind w:left="120" w:right="813" w:firstLine="600"/>
      </w:pPr>
      <w:r>
        <w:rPr/>
        <w:t>THIS AGREEMENT is entered into by and between the State of Alabama Department of Transportation acting by and through its Transportation Director, hereinafter referred to as the STATE, and</w:t>
      </w:r>
    </w:p>
    <w:p>
      <w:pPr>
        <w:pStyle w:val="BodyText"/>
        <w:tabs>
          <w:tab w:pos="6119" w:val="left" w:leader="none"/>
        </w:tabs>
        <w:spacing w:line="223" w:lineRule="exact"/>
        <w:ind w:left="120"/>
      </w:pPr>
      <w:r>
        <w:rPr>
          <w:w w:val="99"/>
          <w:u w:val="single"/>
        </w:rPr>
        <w:t> </w:t>
      </w:r>
      <w:r>
        <w:rPr>
          <w:u w:val="single"/>
        </w:rPr>
        <w:tab/>
      </w:r>
      <w:r>
        <w:rPr/>
        <w:t>, hereinafter referred to as the</w:t>
      </w:r>
      <w:r>
        <w:rPr>
          <w:spacing w:val="-15"/>
        </w:rPr>
        <w:t> </w:t>
      </w:r>
      <w:r>
        <w:rPr/>
        <w:t>UTILITY.</w:t>
      </w:r>
    </w:p>
    <w:p>
      <w:pPr>
        <w:pStyle w:val="BodyText"/>
        <w:spacing w:before="7"/>
        <w:rPr>
          <w:sz w:val="26"/>
        </w:rPr>
      </w:pPr>
    </w:p>
    <w:p>
      <w:pPr>
        <w:pStyle w:val="BodyText"/>
        <w:spacing w:before="91"/>
        <w:ind w:left="2238" w:right="2578"/>
        <w:jc w:val="center"/>
      </w:pPr>
      <w:r>
        <w:rPr/>
        <w:t>WITNESSETH:</w:t>
      </w:r>
    </w:p>
    <w:p>
      <w:pPr>
        <w:pStyle w:val="BodyText"/>
        <w:spacing w:before="8"/>
        <w:rPr>
          <w:sz w:val="21"/>
        </w:rPr>
      </w:pPr>
    </w:p>
    <w:p>
      <w:pPr>
        <w:pStyle w:val="BodyText"/>
        <w:tabs>
          <w:tab w:pos="9407" w:val="left" w:leader="none"/>
          <w:tab w:pos="9479" w:val="left" w:leader="none"/>
        </w:tabs>
        <w:spacing w:line="362" w:lineRule="auto"/>
        <w:ind w:left="120" w:right="459" w:firstLine="600"/>
      </w:pPr>
      <w:r>
        <w:rPr/>
        <w:t>WHEREAS, the STATE proposes a project of certain</w:t>
      </w:r>
      <w:r>
        <w:rPr>
          <w:spacing w:val="-4"/>
        </w:rPr>
        <w:t> </w:t>
      </w:r>
      <w:r>
        <w:rPr/>
        <w:t>highwayimprovements</w:t>
      </w:r>
      <w:r>
        <w:rPr>
          <w:spacing w:val="-3"/>
        </w:rPr>
        <w:t> </w:t>
      </w:r>
      <w:r>
        <w:rPr/>
        <w:t>in</w:t>
      </w:r>
      <w:r>
        <w:rPr>
          <w:spacing w:val="-4"/>
        </w:rPr>
        <w:t> </w:t>
      </w:r>
      <w:r>
        <w:rPr>
          <w:w w:val="99"/>
          <w:u w:val="single"/>
        </w:rPr>
        <w:t> </w:t>
      </w:r>
      <w:r>
        <w:rPr>
          <w:u w:val="single"/>
        </w:rPr>
        <w:tab/>
      </w:r>
      <w:r>
        <w:rPr/>
        <w:t> County, Alabama,  said  project being designated  as</w:t>
      </w:r>
      <w:r>
        <w:rPr>
          <w:spacing w:val="-3"/>
        </w:rPr>
        <w:t> </w:t>
      </w:r>
      <w:r>
        <w:rPr/>
        <w:t>Project</w:t>
      </w:r>
      <w:r>
        <w:rPr>
          <w:spacing w:val="23"/>
        </w:rPr>
        <w:t> </w:t>
      </w:r>
      <w:r>
        <w:rPr/>
        <w:t>No. </w:t>
      </w:r>
      <w:r>
        <w:rPr>
          <w:spacing w:val="-18"/>
        </w:rPr>
        <w:t> </w:t>
      </w:r>
      <w:r>
        <w:rPr>
          <w:w w:val="99"/>
          <w:u w:val="single"/>
        </w:rPr>
        <w:t> </w:t>
      </w:r>
      <w:r>
        <w:rPr>
          <w:u w:val="single"/>
        </w:rPr>
        <w:tab/>
        <w:tab/>
      </w:r>
      <w:r>
        <w:rPr/>
        <w:t> and consisting approximately of the</w:t>
      </w:r>
      <w:r>
        <w:rPr>
          <w:spacing w:val="-31"/>
        </w:rPr>
        <w:t> </w:t>
      </w:r>
      <w:r>
        <w:rPr/>
        <w:t>following:</w:t>
      </w:r>
      <w:r>
        <w:rPr>
          <w:u w:val="single"/>
        </w:rPr>
        <w:t> </w:t>
        <w:tab/>
        <w:tab/>
      </w:r>
    </w:p>
    <w:p>
      <w:pPr>
        <w:pStyle w:val="BodyText"/>
        <w:rPr>
          <w:sz w:val="17"/>
        </w:rPr>
      </w:pPr>
      <w:r>
        <w:rPr/>
        <w:pict>
          <v:shape style="position:absolute;margin-left:72pt;margin-top:11.941593pt;width:460pt;height:.1pt;mso-position-horizontal-relative:page;mso-position-vertical-relative:paragraph;z-index:-251658240;mso-wrap-distance-left:0;mso-wrap-distance-right:0" coordorigin="1440,239" coordsize="9200,0" path="m1440,239l10640,239e" filled="false" stroked="true" strokeweight=".398pt" strokecolor="#000000">
            <v:path arrowok="t"/>
            <v:stroke dashstyle="solid"/>
            <w10:wrap type="topAndBottom"/>
          </v:shape>
        </w:pict>
      </w:r>
    </w:p>
    <w:p>
      <w:pPr>
        <w:pStyle w:val="BodyText"/>
        <w:tabs>
          <w:tab w:pos="8923" w:val="left" w:leader="none"/>
        </w:tabs>
        <w:spacing w:before="69"/>
        <w:ind w:left="120"/>
      </w:pPr>
      <w:r>
        <w:rPr>
          <w:w w:val="99"/>
          <w:u w:val="single"/>
        </w:rPr>
        <w:t> </w:t>
      </w:r>
      <w:r>
        <w:rPr>
          <w:u w:val="single"/>
        </w:rPr>
        <w:tab/>
      </w:r>
      <w:r>
        <w:rPr/>
        <w:t>;</w:t>
      </w:r>
      <w:r>
        <w:rPr>
          <w:spacing w:val="-1"/>
        </w:rPr>
        <w:t> </w:t>
      </w:r>
      <w:r>
        <w:rPr/>
        <w:t>and</w:t>
      </w:r>
    </w:p>
    <w:p>
      <w:pPr>
        <w:pStyle w:val="BodyText"/>
        <w:spacing w:before="11"/>
        <w:rPr>
          <w:sz w:val="15"/>
        </w:rPr>
      </w:pPr>
    </w:p>
    <w:p>
      <w:pPr>
        <w:pStyle w:val="BodyText"/>
        <w:spacing w:line="249" w:lineRule="auto" w:before="91"/>
        <w:ind w:left="120" w:right="454" w:firstLine="600"/>
        <w:jc w:val="both"/>
      </w:pPr>
      <w:r>
        <w:rPr/>
        <w:t>WHEREAS, the UTILITY is the owner of certain facilities located on private or public right-of-way, as applicable, at places where they will interfere with the construction of said project unless said facilities are  relocated;</w:t>
      </w:r>
      <w:r>
        <w:rPr>
          <w:spacing w:val="-1"/>
        </w:rPr>
        <w:t> </w:t>
      </w:r>
      <w:r>
        <w:rPr/>
        <w:t>and</w:t>
      </w:r>
    </w:p>
    <w:p>
      <w:pPr>
        <w:pStyle w:val="BodyText"/>
        <w:rPr>
          <w:sz w:val="21"/>
        </w:rPr>
      </w:pPr>
    </w:p>
    <w:p>
      <w:pPr>
        <w:pStyle w:val="BodyText"/>
        <w:spacing w:line="249" w:lineRule="auto"/>
        <w:ind w:left="120" w:right="451" w:firstLine="597"/>
        <w:jc w:val="both"/>
      </w:pPr>
      <w:r>
        <w:rPr/>
        <w:t>WHEREAS, the Transportation Director has determined that the relocation of the facilities hereinafter referred to is necessitated by the construction of said project and has requested or ordered, as applicable, the UTILITY to relocate same; and</w:t>
      </w:r>
    </w:p>
    <w:p>
      <w:pPr>
        <w:pStyle w:val="BodyText"/>
        <w:spacing w:before="10"/>
      </w:pPr>
    </w:p>
    <w:p>
      <w:pPr>
        <w:pStyle w:val="BodyText"/>
        <w:spacing w:line="249" w:lineRule="auto" w:before="1"/>
        <w:ind w:left="120" w:right="453" w:firstLine="597"/>
        <w:jc w:val="both"/>
      </w:pPr>
      <w:r>
        <w:rPr/>
        <w:t>WHEREAS, under the laws of Alabama, the STATE is required to compensate the UTILITY for all or part of such</w:t>
      </w:r>
      <w:r>
        <w:rPr>
          <w:spacing w:val="-4"/>
        </w:rPr>
        <w:t> </w:t>
      </w:r>
      <w:r>
        <w:rPr/>
        <w:t>relocation;</w:t>
      </w:r>
    </w:p>
    <w:p>
      <w:pPr>
        <w:pStyle w:val="BodyText"/>
        <w:rPr>
          <w:sz w:val="21"/>
        </w:rPr>
      </w:pPr>
    </w:p>
    <w:p>
      <w:pPr>
        <w:pStyle w:val="BodyText"/>
        <w:ind w:left="720"/>
      </w:pPr>
      <w:r>
        <w:rPr/>
        <w:t>NOW, THEREFORE, the parties hereto agree as follows:</w:t>
      </w:r>
    </w:p>
    <w:p>
      <w:pPr>
        <w:pStyle w:val="BodyText"/>
        <w:spacing w:before="6"/>
        <w:rPr>
          <w:sz w:val="21"/>
        </w:rPr>
      </w:pPr>
    </w:p>
    <w:p>
      <w:pPr>
        <w:pStyle w:val="ListParagraph"/>
        <w:numPr>
          <w:ilvl w:val="0"/>
          <w:numId w:val="1"/>
        </w:numPr>
        <w:tabs>
          <w:tab w:pos="1272" w:val="left" w:leader="none"/>
          <w:tab w:pos="7202" w:val="left" w:leader="none"/>
        </w:tabs>
        <w:spacing w:line="249" w:lineRule="auto" w:before="0" w:after="0"/>
        <w:ind w:left="119" w:right="452" w:firstLine="604"/>
        <w:jc w:val="both"/>
        <w:rPr>
          <w:sz w:val="20"/>
        </w:rPr>
      </w:pPr>
      <w:r>
        <w:rPr>
          <w:sz w:val="20"/>
        </w:rPr>
        <w:t>The UTILITY, not being staffed or equipped to perform the relocation, requests that the relocation work be included in the STATE'S Highway Construction Contract. The relocation of the facilities will be accomplished in accordance with and as shown by the UTILITY'S reproducible mylar plans, specifications, and estimate transmitted herewith and are incorporated by reference herein as if fully set forth. The estimated cost of the "In-Kind" relocation including engineering</w:t>
      </w:r>
      <w:r>
        <w:rPr>
          <w:spacing w:val="-22"/>
          <w:sz w:val="20"/>
        </w:rPr>
        <w:t> </w:t>
      </w:r>
      <w:r>
        <w:rPr>
          <w:sz w:val="20"/>
        </w:rPr>
        <w:t>is</w:t>
      </w:r>
      <w:r>
        <w:rPr>
          <w:spacing w:val="-8"/>
          <w:sz w:val="20"/>
        </w:rPr>
        <w:t> </w:t>
      </w:r>
      <w:r>
        <w:rPr>
          <w:sz w:val="20"/>
        </w:rPr>
        <w:t>$</w:t>
      </w:r>
      <w:r>
        <w:rPr>
          <w:sz w:val="20"/>
          <w:u w:val="single"/>
        </w:rPr>
        <w:t> </w:t>
        <w:tab/>
      </w:r>
      <w:r>
        <w:rPr>
          <w:sz w:val="20"/>
        </w:rPr>
        <w:t>.</w:t>
      </w:r>
    </w:p>
    <w:p>
      <w:pPr>
        <w:pStyle w:val="BodyText"/>
        <w:spacing w:before="1"/>
        <w:rPr>
          <w:sz w:val="13"/>
        </w:rPr>
      </w:pPr>
    </w:p>
    <w:p>
      <w:pPr>
        <w:pStyle w:val="ListParagraph"/>
        <w:numPr>
          <w:ilvl w:val="1"/>
          <w:numId w:val="1"/>
        </w:numPr>
        <w:tabs>
          <w:tab w:pos="1917" w:val="left" w:leader="none"/>
          <w:tab w:pos="1918" w:val="left" w:leader="none"/>
        </w:tabs>
        <w:spacing w:line="249" w:lineRule="auto" w:before="91" w:after="0"/>
        <w:ind w:left="120" w:right="457" w:firstLine="1149"/>
        <w:jc w:val="left"/>
        <w:rPr>
          <w:sz w:val="20"/>
        </w:rPr>
      </w:pPr>
      <w:r>
        <w:rPr>
          <w:sz w:val="20"/>
        </w:rPr>
        <w:t>The actual cost of relocation will not be reimbursed to the UTILITY but will be paid directly to the STATE'S contractor by the STATE as a part of its</w:t>
      </w:r>
      <w:r>
        <w:rPr>
          <w:spacing w:val="-13"/>
          <w:sz w:val="20"/>
        </w:rPr>
        <w:t> </w:t>
      </w:r>
      <w:r>
        <w:rPr>
          <w:sz w:val="20"/>
        </w:rPr>
        <w:t>contract.</w:t>
      </w:r>
    </w:p>
    <w:p>
      <w:pPr>
        <w:spacing w:after="0" w:line="249" w:lineRule="auto"/>
        <w:jc w:val="left"/>
        <w:rPr>
          <w:sz w:val="20"/>
        </w:rPr>
        <w:sectPr>
          <w:headerReference w:type="default" r:id="rId5"/>
          <w:type w:val="continuous"/>
          <w:pgSz w:w="12240" w:h="15840"/>
          <w:pgMar w:header="769" w:top="1200" w:bottom="280" w:left="1320" w:right="980"/>
          <w:pgNumType w:start="1"/>
        </w:sectPr>
      </w:pPr>
    </w:p>
    <w:p>
      <w:pPr>
        <w:pStyle w:val="ListParagraph"/>
        <w:numPr>
          <w:ilvl w:val="1"/>
          <w:numId w:val="1"/>
        </w:numPr>
        <w:tabs>
          <w:tab w:pos="1920" w:val="left" w:leader="none"/>
        </w:tabs>
        <w:spacing w:line="249" w:lineRule="auto" w:before="65" w:after="0"/>
        <w:ind w:left="120" w:right="451" w:firstLine="1151"/>
        <w:jc w:val="both"/>
        <w:rPr>
          <w:sz w:val="20"/>
        </w:rPr>
      </w:pPr>
      <w:r>
        <w:rPr>
          <w:sz w:val="20"/>
        </w:rPr>
        <w:t>In the event a Consultant Engineer acceptable to the STATE is utilized by the UTILITY, the actual cost of the Engineer will be reimbursed by the STATE to the UTILITY. </w:t>
      </w:r>
      <w:r>
        <w:rPr>
          <w:spacing w:val="4"/>
          <w:sz w:val="20"/>
        </w:rPr>
        <w:t>If </w:t>
      </w:r>
      <w:r>
        <w:rPr>
          <w:sz w:val="20"/>
        </w:rPr>
        <w:t>the UTILITY, with  approval of the STATE, designs the relocation work with company employees, the STATE will reimburse the UTILITY for the actual cost of the design. Payment for actual cost in either instance will be made upon receipt and verification of appropriate invoices from the UTILITY provided the actual cost is established by the records of the UTILITY when kept in accordance and in compliance with general accounting practices acceptable to the STATE and in compliance with Parts 30 and 31, Federal Acquisition</w:t>
      </w:r>
      <w:r>
        <w:rPr>
          <w:spacing w:val="-6"/>
          <w:sz w:val="20"/>
        </w:rPr>
        <w:t> </w:t>
      </w:r>
      <w:r>
        <w:rPr>
          <w:sz w:val="20"/>
        </w:rPr>
        <w:t>Regulations.</w:t>
      </w:r>
    </w:p>
    <w:p>
      <w:pPr>
        <w:pStyle w:val="BodyText"/>
        <w:spacing w:before="11"/>
      </w:pPr>
    </w:p>
    <w:p>
      <w:pPr>
        <w:pStyle w:val="BodyText"/>
        <w:spacing w:line="249" w:lineRule="auto"/>
        <w:ind w:left="119" w:right="450" w:firstLine="600"/>
        <w:jc w:val="both"/>
      </w:pPr>
      <w:r>
        <w:rPr/>
        <w:t>The detailed cost estimate will be prepared on the State's Form U-10 or the UTILITY'S own form giving the same type of information. T he estimated cost for Engineering required by the relocation of utility facilities is included in the total estimated cost of relocation set forth hereafter in this Agreement, and will be divided into three</w:t>
      </w:r>
    </w:p>
    <w:p>
      <w:pPr>
        <w:pStyle w:val="BodyText"/>
        <w:spacing w:line="249" w:lineRule="auto" w:before="3"/>
        <w:ind w:left="120" w:right="453" w:hanging="1"/>
        <w:jc w:val="both"/>
      </w:pPr>
      <w:r>
        <w:rPr/>
        <w:t>(3) phases: ( a) Phase I - Concept; (b) Phase II - Design; and (c) Phase III - Construction. E ach Phase of the Engineering work must be estimated and performed independently of the other. </w:t>
      </w:r>
      <w:r>
        <w:rPr>
          <w:spacing w:val="3"/>
        </w:rPr>
        <w:t>The </w:t>
      </w:r>
      <w:r>
        <w:rPr/>
        <w:t>three Engineering Phases will apply to work performed by UTILITY Engineering Personnel and/or Consultant Engineers. The UTILITY will not proceed with any additional Phase of the required engineering work until it has received written notification from the</w:t>
      </w:r>
      <w:r>
        <w:rPr>
          <w:spacing w:val="-5"/>
        </w:rPr>
        <w:t> </w:t>
      </w:r>
      <w:r>
        <w:rPr/>
        <w:t>STATE</w:t>
      </w:r>
      <w:r>
        <w:rPr>
          <w:spacing w:val="-4"/>
        </w:rPr>
        <w:t> </w:t>
      </w:r>
      <w:r>
        <w:rPr/>
        <w:t>approving</w:t>
      </w:r>
      <w:r>
        <w:rPr>
          <w:spacing w:val="-6"/>
        </w:rPr>
        <w:t> </w:t>
      </w:r>
      <w:r>
        <w:rPr/>
        <w:t>the</w:t>
      </w:r>
      <w:r>
        <w:rPr>
          <w:spacing w:val="-4"/>
        </w:rPr>
        <w:t> </w:t>
      </w:r>
      <w:r>
        <w:rPr/>
        <w:t>completion</w:t>
      </w:r>
      <w:r>
        <w:rPr>
          <w:spacing w:val="-4"/>
        </w:rPr>
        <w:t> </w:t>
      </w:r>
      <w:r>
        <w:rPr/>
        <w:t>of</w:t>
      </w:r>
      <w:r>
        <w:rPr>
          <w:spacing w:val="-6"/>
        </w:rPr>
        <w:t> </w:t>
      </w:r>
      <w:r>
        <w:rPr/>
        <w:t>the</w:t>
      </w:r>
      <w:r>
        <w:rPr>
          <w:spacing w:val="-4"/>
        </w:rPr>
        <w:t> </w:t>
      </w:r>
      <w:r>
        <w:rPr/>
        <w:t>previous</w:t>
      </w:r>
      <w:r>
        <w:rPr>
          <w:spacing w:val="-8"/>
        </w:rPr>
        <w:t> </w:t>
      </w:r>
      <w:r>
        <w:rPr/>
        <w:t>Phase</w:t>
      </w:r>
      <w:r>
        <w:rPr>
          <w:spacing w:val="-4"/>
        </w:rPr>
        <w:t> </w:t>
      </w:r>
      <w:r>
        <w:rPr/>
        <w:t>and</w:t>
      </w:r>
      <w:r>
        <w:rPr>
          <w:spacing w:val="-1"/>
        </w:rPr>
        <w:t> </w:t>
      </w:r>
      <w:r>
        <w:rPr/>
        <w:t>written</w:t>
      </w:r>
      <w:r>
        <w:rPr>
          <w:spacing w:val="-4"/>
        </w:rPr>
        <w:t> </w:t>
      </w:r>
      <w:r>
        <w:rPr/>
        <w:t>instruction</w:t>
      </w:r>
      <w:r>
        <w:rPr>
          <w:spacing w:val="-6"/>
        </w:rPr>
        <w:t> </w:t>
      </w:r>
      <w:r>
        <w:rPr/>
        <w:t>to</w:t>
      </w:r>
      <w:r>
        <w:rPr>
          <w:spacing w:val="-3"/>
        </w:rPr>
        <w:t> </w:t>
      </w:r>
      <w:r>
        <w:rPr/>
        <w:t>proceed</w:t>
      </w:r>
      <w:r>
        <w:rPr>
          <w:spacing w:val="-3"/>
        </w:rPr>
        <w:t> </w:t>
      </w:r>
      <w:r>
        <w:rPr/>
        <w:t>with</w:t>
      </w:r>
      <w:r>
        <w:rPr>
          <w:spacing w:val="-7"/>
        </w:rPr>
        <w:t> </w:t>
      </w:r>
      <w:r>
        <w:rPr/>
        <w:t>the</w:t>
      </w:r>
      <w:r>
        <w:rPr>
          <w:spacing w:val="-4"/>
        </w:rPr>
        <w:t> </w:t>
      </w:r>
      <w:r>
        <w:rPr/>
        <w:t>next</w:t>
      </w:r>
      <w:r>
        <w:rPr>
          <w:spacing w:val="-5"/>
        </w:rPr>
        <w:t> </w:t>
      </w:r>
      <w:r>
        <w:rPr/>
        <w:t>Phase.</w:t>
      </w:r>
    </w:p>
    <w:p>
      <w:pPr>
        <w:pStyle w:val="BodyText"/>
        <w:spacing w:before="11"/>
      </w:pPr>
    </w:p>
    <w:p>
      <w:pPr>
        <w:pStyle w:val="BodyText"/>
        <w:spacing w:line="249" w:lineRule="auto"/>
        <w:ind w:left="120" w:right="456" w:firstLine="600"/>
        <w:jc w:val="both"/>
      </w:pPr>
      <w:r>
        <w:rPr/>
        <w:t>The STATE has the right to notify the UTILITY, in writing, to cease Engineering work at any time it deems necessary. If so notified, the UTILITY shall cause all work to cease within four (4) working days and will invoice the STATE for the reimbursable work completed to</w:t>
      </w:r>
      <w:r>
        <w:rPr>
          <w:spacing w:val="-1"/>
        </w:rPr>
        <w:t> </w:t>
      </w:r>
      <w:r>
        <w:rPr/>
        <w:t>date.</w:t>
      </w:r>
    </w:p>
    <w:p>
      <w:pPr>
        <w:pStyle w:val="BodyText"/>
        <w:spacing w:before="10"/>
      </w:pPr>
    </w:p>
    <w:p>
      <w:pPr>
        <w:pStyle w:val="BodyText"/>
        <w:ind w:left="720"/>
      </w:pPr>
      <w:r>
        <w:rPr/>
        <w:t>The STATE'S share of the engineering charges shall be limited to the "in-kind" work only.</w:t>
      </w:r>
    </w:p>
    <w:p>
      <w:pPr>
        <w:pStyle w:val="BodyText"/>
        <w:spacing w:before="9"/>
        <w:rPr>
          <w:sz w:val="21"/>
        </w:rPr>
      </w:pPr>
    </w:p>
    <w:p>
      <w:pPr>
        <w:pStyle w:val="ListParagraph"/>
        <w:numPr>
          <w:ilvl w:val="1"/>
          <w:numId w:val="1"/>
        </w:numPr>
        <w:tabs>
          <w:tab w:pos="1500" w:val="left" w:leader="none"/>
          <w:tab w:pos="4711" w:val="left" w:leader="none"/>
          <w:tab w:pos="5373" w:val="left" w:leader="none"/>
        </w:tabs>
        <w:spacing w:line="240" w:lineRule="auto" w:before="0" w:after="0"/>
        <w:ind w:left="1500" w:right="0" w:hanging="231"/>
        <w:jc w:val="left"/>
        <w:rPr>
          <w:sz w:val="20"/>
        </w:rPr>
      </w:pPr>
      <w:r>
        <w:rPr>
          <w:sz w:val="20"/>
        </w:rPr>
        <w:t>This agreement</w:t>
      </w:r>
      <w:r>
        <w:rPr>
          <w:spacing w:val="-10"/>
          <w:sz w:val="20"/>
        </w:rPr>
        <w:t> </w:t>
      </w:r>
      <w:r>
        <w:rPr>
          <w:sz w:val="20"/>
        </w:rPr>
        <w:t>includes</w:t>
      </w:r>
      <w:r>
        <w:rPr>
          <w:spacing w:val="-5"/>
          <w:sz w:val="20"/>
        </w:rPr>
        <w:t> </w:t>
      </w:r>
      <w:r>
        <w:rPr>
          <w:sz w:val="20"/>
        </w:rPr>
        <w:t>betterment</w:t>
      </w:r>
      <w:r>
        <w:rPr>
          <w:sz w:val="20"/>
          <w:u w:val="single"/>
        </w:rPr>
        <w:t> </w:t>
        <w:tab/>
      </w:r>
      <w:r>
        <w:rPr>
          <w:sz w:val="20"/>
        </w:rPr>
        <w:t>Yes</w:t>
      </w:r>
      <w:r>
        <w:rPr>
          <w:sz w:val="20"/>
          <w:u w:val="single"/>
        </w:rPr>
        <w:t> </w:t>
        <w:tab/>
      </w:r>
      <w:r>
        <w:rPr>
          <w:sz w:val="20"/>
        </w:rPr>
        <w:t>No.</w:t>
      </w:r>
    </w:p>
    <w:p>
      <w:pPr>
        <w:pStyle w:val="BodyText"/>
        <w:spacing w:line="249" w:lineRule="auto" w:before="10"/>
        <w:ind w:left="120" w:right="598" w:firstLine="1353"/>
      </w:pPr>
      <w:r>
        <w:rPr/>
        <w:t>If the relocation plan contains betterment, the foregoing blank will be checked.  Two  (2) estimates will be required, an "in-kind" and a "betterment" estimate. After opening of bids in accordance with 23 CFR Part 635 and applicable State law and prior to award of the STATE'S Contract, the STATE will invoice the UTILITY for the low-bid Contractor's price for the betterment items. This invoice will be paid by the Utility prior to contract award, or the "betterment" items will be deleted from the contract and it may be awarded without betterment. At the completion of the project, a final accounting will be held. At this time any funds due the UTILITY will be returned or if funds are due the STATE, the UTILITY will be sent a Final Invoice for the amount due and the UTILITY will promptly pay such amount to the</w:t>
      </w:r>
      <w:r>
        <w:rPr>
          <w:spacing w:val="-5"/>
        </w:rPr>
        <w:t> </w:t>
      </w:r>
      <w:r>
        <w:rPr/>
        <w:t>STATE.</w:t>
      </w:r>
    </w:p>
    <w:p>
      <w:pPr>
        <w:pStyle w:val="BodyText"/>
        <w:rPr>
          <w:sz w:val="21"/>
        </w:rPr>
      </w:pPr>
    </w:p>
    <w:p>
      <w:pPr>
        <w:pStyle w:val="BodyText"/>
        <w:tabs>
          <w:tab w:pos="5188" w:val="left" w:leader="none"/>
          <w:tab w:pos="7684" w:val="left" w:leader="none"/>
        </w:tabs>
        <w:spacing w:line="249" w:lineRule="auto"/>
        <w:ind w:left="119" w:right="456" w:firstLine="576"/>
        <w:jc w:val="both"/>
      </w:pPr>
      <w:r>
        <w:rPr/>
        <w:t>The total actual cost of relocation, whether the facilities are on private or public right-of-way, shall be adjusted for betterment, if any, as defined and provided for in 23 C.F.R. Part 645. Excluding betterment costs, the total</w:t>
      </w:r>
      <w:r>
        <w:rPr>
          <w:spacing w:val="21"/>
        </w:rPr>
        <w:t> </w:t>
      </w:r>
      <w:r>
        <w:rPr/>
        <w:t>estimated</w:t>
      </w:r>
      <w:r>
        <w:rPr>
          <w:spacing w:val="27"/>
        </w:rPr>
        <w:t> </w:t>
      </w:r>
      <w:r>
        <w:rPr/>
        <w:t>cost</w:t>
      </w:r>
      <w:r>
        <w:rPr>
          <w:spacing w:val="23"/>
        </w:rPr>
        <w:t> </w:t>
      </w:r>
      <w:r>
        <w:rPr/>
        <w:t>of</w:t>
      </w:r>
      <w:r>
        <w:rPr>
          <w:spacing w:val="22"/>
        </w:rPr>
        <w:t> </w:t>
      </w:r>
      <w:r>
        <w:rPr/>
        <w:t>relocation,</w:t>
      </w:r>
      <w:r>
        <w:rPr>
          <w:spacing w:val="24"/>
        </w:rPr>
        <w:t> </w:t>
      </w:r>
      <w:r>
        <w:rPr/>
        <w:t>including</w:t>
      </w:r>
      <w:r>
        <w:rPr>
          <w:spacing w:val="25"/>
        </w:rPr>
        <w:t> </w:t>
      </w:r>
      <w:r>
        <w:rPr/>
        <w:t>Engineering</w:t>
      </w:r>
      <w:r>
        <w:rPr>
          <w:spacing w:val="25"/>
        </w:rPr>
        <w:t> </w:t>
      </w:r>
      <w:r>
        <w:rPr/>
        <w:t>is</w:t>
      </w:r>
      <w:r>
        <w:rPr>
          <w:spacing w:val="20"/>
        </w:rPr>
        <w:t> </w:t>
      </w:r>
      <w:r>
        <w:rPr/>
        <w:t>$</w:t>
      </w:r>
      <w:r>
        <w:rPr>
          <w:u w:val="single"/>
        </w:rPr>
        <w:t> </w:t>
        <w:tab/>
      </w:r>
      <w:r>
        <w:rPr/>
        <w:t>.                The                total                 estimated cost including betterment</w:t>
      </w:r>
      <w:r>
        <w:rPr>
          <w:spacing w:val="-12"/>
        </w:rPr>
        <w:t> </w:t>
      </w:r>
      <w:r>
        <w:rPr/>
        <w:t>is</w:t>
      </w:r>
      <w:r>
        <w:rPr>
          <w:spacing w:val="-4"/>
        </w:rPr>
        <w:t> </w:t>
      </w:r>
      <w:r>
        <w:rPr>
          <w:spacing w:val="3"/>
        </w:rPr>
        <w:t>$</w:t>
      </w:r>
      <w:r>
        <w:rPr>
          <w:spacing w:val="3"/>
          <w:u w:val="single"/>
        </w:rPr>
        <w:t> </w:t>
        <w:tab/>
      </w:r>
      <w:r>
        <w:rPr/>
        <w:t>.</w:t>
      </w:r>
    </w:p>
    <w:p>
      <w:pPr>
        <w:pStyle w:val="BodyText"/>
        <w:rPr>
          <w:sz w:val="13"/>
        </w:rPr>
      </w:pPr>
    </w:p>
    <w:p>
      <w:pPr>
        <w:pStyle w:val="BodyText"/>
        <w:tabs>
          <w:tab w:pos="4607" w:val="left" w:leader="none"/>
          <w:tab w:pos="6659" w:val="left" w:leader="none"/>
        </w:tabs>
        <w:spacing w:line="249" w:lineRule="auto" w:before="91"/>
        <w:ind w:left="119" w:right="452" w:firstLine="576"/>
        <w:jc w:val="both"/>
      </w:pPr>
      <w:r>
        <w:rPr/>
        <w:t>If an adjustment for betterment is applicable, the STATE shall reimburse the UTILITY based on the percentage ratio  of "in-kind"  cost and  "betterment" cost</w:t>
      </w:r>
      <w:r>
        <w:rPr>
          <w:spacing w:val="-18"/>
        </w:rPr>
        <w:t> </w:t>
      </w:r>
      <w:r>
        <w:rPr/>
        <w:t>and</w:t>
      </w:r>
      <w:r>
        <w:rPr>
          <w:spacing w:val="18"/>
        </w:rPr>
        <w:t> </w:t>
      </w:r>
      <w:r>
        <w:rPr/>
        <w:t>being</w:t>
      </w:r>
      <w:r>
        <w:rPr>
          <w:u w:val="single"/>
        </w:rPr>
        <w:t> </w:t>
        <w:tab/>
      </w:r>
      <w:r>
        <w:rPr/>
        <w:t>percent of the total actual cost of relocation, as "in-kind", and the</w:t>
      </w:r>
      <w:r>
        <w:rPr>
          <w:spacing w:val="1"/>
        </w:rPr>
        <w:t> </w:t>
      </w:r>
      <w:r>
        <w:rPr/>
        <w:t>remaining</w:t>
      </w:r>
      <w:r>
        <w:rPr>
          <w:u w:val="single"/>
        </w:rPr>
        <w:t> </w:t>
        <w:tab/>
      </w:r>
      <w:r>
        <w:rPr/>
        <w:t>percent thereof shall be for the account of the UTILITY for betterment. I f there are changes during construction and/or the actual construction cost percentage becomes substantially</w:t>
      </w:r>
      <w:r>
        <w:rPr>
          <w:spacing w:val="-9"/>
        </w:rPr>
        <w:t> </w:t>
      </w:r>
      <w:r>
        <w:rPr/>
        <w:t>different</w:t>
      </w:r>
      <w:r>
        <w:rPr>
          <w:spacing w:val="-3"/>
        </w:rPr>
        <w:t> </w:t>
      </w:r>
      <w:r>
        <w:rPr/>
        <w:t>from</w:t>
      </w:r>
      <w:r>
        <w:rPr>
          <w:spacing w:val="-8"/>
        </w:rPr>
        <w:t> </w:t>
      </w:r>
      <w:r>
        <w:rPr/>
        <w:t>the</w:t>
      </w:r>
      <w:r>
        <w:rPr>
          <w:spacing w:val="-5"/>
        </w:rPr>
        <w:t> </w:t>
      </w:r>
      <w:r>
        <w:rPr/>
        <w:t>construction</w:t>
      </w:r>
      <w:r>
        <w:rPr>
          <w:spacing w:val="-6"/>
        </w:rPr>
        <w:t> </w:t>
      </w:r>
      <w:r>
        <w:rPr/>
        <w:t>estimate,</w:t>
      </w:r>
      <w:r>
        <w:rPr>
          <w:spacing w:val="-5"/>
        </w:rPr>
        <w:t> </w:t>
      </w:r>
      <w:r>
        <w:rPr/>
        <w:t>then</w:t>
      </w:r>
      <w:r>
        <w:rPr>
          <w:spacing w:val="-7"/>
        </w:rPr>
        <w:t> </w:t>
      </w:r>
      <w:r>
        <w:rPr/>
        <w:t>the</w:t>
      </w:r>
      <w:r>
        <w:rPr>
          <w:spacing w:val="-4"/>
        </w:rPr>
        <w:t> </w:t>
      </w:r>
      <w:r>
        <w:rPr/>
        <w:t>STATE</w:t>
      </w:r>
      <w:r>
        <w:rPr>
          <w:spacing w:val="-5"/>
        </w:rPr>
        <w:t> </w:t>
      </w:r>
      <w:r>
        <w:rPr/>
        <w:t>may</w:t>
      </w:r>
      <w:r>
        <w:rPr>
          <w:spacing w:val="-4"/>
        </w:rPr>
        <w:t> </w:t>
      </w:r>
      <w:r>
        <w:rPr/>
        <w:t>recalculate</w:t>
      </w:r>
      <w:r>
        <w:rPr>
          <w:spacing w:val="-4"/>
        </w:rPr>
        <w:t> </w:t>
      </w:r>
      <w:r>
        <w:rPr/>
        <w:t>the</w:t>
      </w:r>
      <w:r>
        <w:rPr>
          <w:spacing w:val="-5"/>
        </w:rPr>
        <w:t> </w:t>
      </w:r>
      <w:r>
        <w:rPr/>
        <w:t>percentages</w:t>
      </w:r>
      <w:r>
        <w:rPr>
          <w:spacing w:val="-6"/>
        </w:rPr>
        <w:t> </w:t>
      </w:r>
      <w:r>
        <w:rPr/>
        <w:t>at</w:t>
      </w:r>
      <w:r>
        <w:rPr>
          <w:spacing w:val="-5"/>
        </w:rPr>
        <w:t> </w:t>
      </w:r>
      <w:r>
        <w:rPr/>
        <w:t>any</w:t>
      </w:r>
      <w:r>
        <w:rPr>
          <w:spacing w:val="-9"/>
        </w:rPr>
        <w:t> </w:t>
      </w:r>
      <w:r>
        <w:rPr/>
        <w:t>time.</w:t>
      </w:r>
    </w:p>
    <w:p>
      <w:pPr>
        <w:pStyle w:val="BodyText"/>
        <w:rPr>
          <w:sz w:val="21"/>
        </w:rPr>
      </w:pPr>
    </w:p>
    <w:p>
      <w:pPr>
        <w:pStyle w:val="ListParagraph"/>
        <w:numPr>
          <w:ilvl w:val="0"/>
          <w:numId w:val="1"/>
        </w:numPr>
        <w:tabs>
          <w:tab w:pos="1272" w:val="left" w:leader="none"/>
        </w:tabs>
        <w:spacing w:line="249" w:lineRule="auto" w:before="1" w:after="0"/>
        <w:ind w:left="120" w:right="457" w:firstLine="597"/>
        <w:jc w:val="both"/>
        <w:rPr>
          <w:sz w:val="20"/>
        </w:rPr>
      </w:pPr>
      <w:r>
        <w:rPr>
          <w:sz w:val="20"/>
        </w:rPr>
        <w:t>The UTILITY will conform to the provisions of the latest edition of the State of Alabama Department of Transportation Utility Manual, as the provisions are applicable hereto, for both installation and maintenance of such facilities. The Utility Manual is hereby incorporated by reference herein as if fully</w:t>
      </w:r>
      <w:r>
        <w:rPr>
          <w:spacing w:val="-12"/>
          <w:sz w:val="20"/>
        </w:rPr>
        <w:t> </w:t>
      </w:r>
      <w:r>
        <w:rPr>
          <w:spacing w:val="2"/>
          <w:sz w:val="20"/>
        </w:rPr>
        <w:t>setforth.</w:t>
      </w:r>
    </w:p>
    <w:p>
      <w:pPr>
        <w:spacing w:after="0" w:line="249" w:lineRule="auto"/>
        <w:jc w:val="both"/>
        <w:rPr>
          <w:sz w:val="20"/>
        </w:rPr>
        <w:sectPr>
          <w:pgSz w:w="12240" w:h="15840"/>
          <w:pgMar w:header="769" w:footer="0" w:top="1200" w:bottom="280" w:left="1320" w:right="980"/>
        </w:sectPr>
      </w:pPr>
    </w:p>
    <w:p>
      <w:pPr>
        <w:pStyle w:val="ListParagraph"/>
        <w:numPr>
          <w:ilvl w:val="0"/>
          <w:numId w:val="1"/>
        </w:numPr>
        <w:tabs>
          <w:tab w:pos="1272" w:val="left" w:leader="none"/>
        </w:tabs>
        <w:spacing w:line="249" w:lineRule="auto" w:before="65" w:after="0"/>
        <w:ind w:left="120" w:right="451" w:firstLine="599"/>
        <w:jc w:val="both"/>
        <w:rPr>
          <w:sz w:val="20"/>
        </w:rPr>
      </w:pPr>
      <w:r>
        <w:rPr>
          <w:sz w:val="20"/>
        </w:rPr>
        <w:t>The UTILITY will conform to the provisions of the Federal Highway Administration Manual on Uniform Traffic Control Devices (MUTCD), latest edition, as the provisions thereof are applicable hereto, for both installation and maintenance of such facilities. The manual is hereby incorporated by reference herein as if fully set forth.</w:t>
      </w:r>
    </w:p>
    <w:p>
      <w:pPr>
        <w:pStyle w:val="BodyText"/>
        <w:spacing w:before="11"/>
      </w:pPr>
    </w:p>
    <w:p>
      <w:pPr>
        <w:pStyle w:val="ListParagraph"/>
        <w:numPr>
          <w:ilvl w:val="0"/>
          <w:numId w:val="1"/>
        </w:numPr>
        <w:tabs>
          <w:tab w:pos="1272" w:val="left" w:leader="none"/>
        </w:tabs>
        <w:spacing w:line="249" w:lineRule="auto" w:before="0" w:after="0"/>
        <w:ind w:left="120" w:right="450" w:firstLine="599"/>
        <w:jc w:val="both"/>
        <w:rPr>
          <w:sz w:val="20"/>
        </w:rPr>
      </w:pPr>
      <w:r>
        <w:rPr>
          <w:sz w:val="20"/>
        </w:rPr>
        <w:t>The UTILITY will be notified by the STATE Project Engineer, twenty-four (24) hours in advance of the commencement of the facility adjustment by the STATE Contractor. The STATE Project Engineer shall have final authority in all matters affecting the work of the STATE'S Contractor. I n the event the UTILITY has an Inspector on the project, the Inspector will not issue any instructions to the STATE'S Contractor. All instructions to the STATE'S Contractor with regard to the work provided for under this agreement will be issued by the STATE Project Engineer, after consultation with the UTILITY Inspector or Representative if found necessary by the STATE Project</w:t>
      </w:r>
      <w:r>
        <w:rPr>
          <w:spacing w:val="-1"/>
          <w:sz w:val="20"/>
        </w:rPr>
        <w:t> </w:t>
      </w:r>
      <w:r>
        <w:rPr>
          <w:sz w:val="20"/>
        </w:rPr>
        <w:t>Engineer.</w:t>
      </w:r>
    </w:p>
    <w:p>
      <w:pPr>
        <w:pStyle w:val="BodyText"/>
        <w:spacing w:before="11"/>
      </w:pPr>
    </w:p>
    <w:p>
      <w:pPr>
        <w:pStyle w:val="ListParagraph"/>
        <w:numPr>
          <w:ilvl w:val="0"/>
          <w:numId w:val="1"/>
        </w:numPr>
        <w:tabs>
          <w:tab w:pos="1272" w:val="left" w:leader="none"/>
        </w:tabs>
        <w:spacing w:line="249" w:lineRule="auto" w:before="0" w:after="0"/>
        <w:ind w:left="119" w:right="457" w:firstLine="597"/>
        <w:jc w:val="both"/>
        <w:rPr>
          <w:sz w:val="20"/>
        </w:rPr>
      </w:pPr>
      <w:r>
        <w:rPr>
          <w:sz w:val="20"/>
        </w:rPr>
        <w:t>Code of Federal Regulations 23 C.F.R. Part 645 is hereby incorporated by reference herein as if fully set forth, and will be followed by the UTILITY as the provisions are applicable</w:t>
      </w:r>
      <w:r>
        <w:rPr>
          <w:spacing w:val="-20"/>
          <w:sz w:val="20"/>
        </w:rPr>
        <w:t> </w:t>
      </w:r>
      <w:r>
        <w:rPr>
          <w:sz w:val="20"/>
        </w:rPr>
        <w:t>hereto.</w:t>
      </w:r>
    </w:p>
    <w:p>
      <w:pPr>
        <w:pStyle w:val="BodyText"/>
        <w:rPr>
          <w:sz w:val="21"/>
        </w:rPr>
      </w:pPr>
    </w:p>
    <w:p>
      <w:pPr>
        <w:pStyle w:val="ListParagraph"/>
        <w:numPr>
          <w:ilvl w:val="0"/>
          <w:numId w:val="1"/>
        </w:numPr>
        <w:tabs>
          <w:tab w:pos="1272" w:val="left" w:leader="none"/>
        </w:tabs>
        <w:spacing w:line="249" w:lineRule="auto" w:before="0" w:after="0"/>
        <w:ind w:left="120" w:right="453" w:firstLine="599"/>
        <w:jc w:val="both"/>
        <w:rPr>
          <w:sz w:val="20"/>
        </w:rPr>
      </w:pPr>
      <w:r>
        <w:rPr>
          <w:sz w:val="20"/>
        </w:rPr>
        <w:t>The UTILITY will observe and comply with the provisions of all Federal, State and Municipal laws and regulations as the provisions thereof are applicable hereto in the performance of work hereunder, including the Clean Water Act of 1987, the Alabama Nonpoint Source Management Program of 1989, and the regulations of the Environmental Protection Agency (EPA) and the Alabama Department of Environmental Management (ADEM). The</w:t>
      </w:r>
      <w:r>
        <w:rPr>
          <w:spacing w:val="-4"/>
          <w:sz w:val="20"/>
        </w:rPr>
        <w:t> </w:t>
      </w:r>
      <w:r>
        <w:rPr>
          <w:sz w:val="20"/>
        </w:rPr>
        <w:t>UTILITY</w:t>
      </w:r>
      <w:r>
        <w:rPr>
          <w:spacing w:val="-4"/>
          <w:sz w:val="20"/>
        </w:rPr>
        <w:t> </w:t>
      </w:r>
      <w:r>
        <w:rPr>
          <w:sz w:val="20"/>
        </w:rPr>
        <w:t>will</w:t>
      </w:r>
      <w:r>
        <w:rPr>
          <w:spacing w:val="-4"/>
          <w:sz w:val="20"/>
        </w:rPr>
        <w:t> </w:t>
      </w:r>
      <w:r>
        <w:rPr>
          <w:sz w:val="20"/>
        </w:rPr>
        <w:t>procure</w:t>
      </w:r>
      <w:r>
        <w:rPr>
          <w:spacing w:val="-4"/>
          <w:sz w:val="20"/>
        </w:rPr>
        <w:t> </w:t>
      </w:r>
      <w:r>
        <w:rPr>
          <w:sz w:val="20"/>
        </w:rPr>
        <w:t>and</w:t>
      </w:r>
      <w:r>
        <w:rPr>
          <w:spacing w:val="-1"/>
          <w:sz w:val="20"/>
        </w:rPr>
        <w:t> </w:t>
      </w:r>
      <w:r>
        <w:rPr>
          <w:sz w:val="20"/>
        </w:rPr>
        <w:t>pay</w:t>
      </w:r>
      <w:r>
        <w:rPr>
          <w:spacing w:val="-7"/>
          <w:sz w:val="20"/>
        </w:rPr>
        <w:t> </w:t>
      </w:r>
      <w:r>
        <w:rPr>
          <w:sz w:val="20"/>
        </w:rPr>
        <w:t>for</w:t>
      </w:r>
      <w:r>
        <w:rPr>
          <w:spacing w:val="-4"/>
          <w:sz w:val="20"/>
        </w:rPr>
        <w:t> </w:t>
      </w:r>
      <w:r>
        <w:rPr>
          <w:sz w:val="20"/>
        </w:rPr>
        <w:t>all</w:t>
      </w:r>
      <w:r>
        <w:rPr>
          <w:spacing w:val="-4"/>
          <w:sz w:val="20"/>
        </w:rPr>
        <w:t> </w:t>
      </w:r>
      <w:r>
        <w:rPr>
          <w:sz w:val="20"/>
        </w:rPr>
        <w:t>licenses</w:t>
      </w:r>
      <w:r>
        <w:rPr>
          <w:spacing w:val="-5"/>
          <w:sz w:val="20"/>
        </w:rPr>
        <w:t> </w:t>
      </w:r>
      <w:r>
        <w:rPr>
          <w:sz w:val="20"/>
        </w:rPr>
        <w:t>and</w:t>
      </w:r>
      <w:r>
        <w:rPr>
          <w:spacing w:val="-2"/>
          <w:sz w:val="20"/>
        </w:rPr>
        <w:t> </w:t>
      </w:r>
      <w:r>
        <w:rPr>
          <w:sz w:val="20"/>
        </w:rPr>
        <w:t>permits</w:t>
      </w:r>
      <w:r>
        <w:rPr>
          <w:spacing w:val="-5"/>
          <w:sz w:val="20"/>
        </w:rPr>
        <w:t> </w:t>
      </w:r>
      <w:r>
        <w:rPr>
          <w:sz w:val="20"/>
        </w:rPr>
        <w:t>that</w:t>
      </w:r>
      <w:r>
        <w:rPr>
          <w:spacing w:val="-4"/>
          <w:sz w:val="20"/>
        </w:rPr>
        <w:t> </w:t>
      </w:r>
      <w:r>
        <w:rPr>
          <w:sz w:val="20"/>
        </w:rPr>
        <w:t>are</w:t>
      </w:r>
      <w:r>
        <w:rPr>
          <w:spacing w:val="-4"/>
          <w:sz w:val="20"/>
        </w:rPr>
        <w:t> </w:t>
      </w:r>
      <w:r>
        <w:rPr>
          <w:sz w:val="20"/>
        </w:rPr>
        <w:t>necessary</w:t>
      </w:r>
      <w:r>
        <w:rPr>
          <w:spacing w:val="-3"/>
          <w:sz w:val="20"/>
        </w:rPr>
        <w:t> </w:t>
      </w:r>
      <w:r>
        <w:rPr>
          <w:sz w:val="20"/>
        </w:rPr>
        <w:t>for</w:t>
      </w:r>
      <w:r>
        <w:rPr>
          <w:spacing w:val="-3"/>
          <w:sz w:val="20"/>
        </w:rPr>
        <w:t> </w:t>
      </w:r>
      <w:r>
        <w:rPr>
          <w:sz w:val="20"/>
        </w:rPr>
        <w:t>its</w:t>
      </w:r>
      <w:r>
        <w:rPr>
          <w:spacing w:val="-5"/>
          <w:sz w:val="20"/>
        </w:rPr>
        <w:t> </w:t>
      </w:r>
      <w:r>
        <w:rPr>
          <w:sz w:val="20"/>
        </w:rPr>
        <w:t>performance</w:t>
      </w:r>
      <w:r>
        <w:rPr>
          <w:spacing w:val="-3"/>
          <w:sz w:val="20"/>
        </w:rPr>
        <w:t> </w:t>
      </w:r>
      <w:r>
        <w:rPr>
          <w:sz w:val="20"/>
        </w:rPr>
        <w:t>of</w:t>
      </w:r>
      <w:r>
        <w:rPr>
          <w:spacing w:val="-6"/>
          <w:sz w:val="20"/>
        </w:rPr>
        <w:t> </w:t>
      </w:r>
      <w:r>
        <w:rPr>
          <w:sz w:val="20"/>
        </w:rPr>
        <w:t>the</w:t>
      </w:r>
      <w:r>
        <w:rPr>
          <w:spacing w:val="-2"/>
          <w:sz w:val="20"/>
        </w:rPr>
        <w:t> </w:t>
      </w:r>
      <w:r>
        <w:rPr>
          <w:sz w:val="20"/>
        </w:rPr>
        <w:t>work.</w:t>
      </w:r>
    </w:p>
    <w:p>
      <w:pPr>
        <w:pStyle w:val="BodyText"/>
        <w:rPr>
          <w:sz w:val="21"/>
        </w:rPr>
      </w:pPr>
    </w:p>
    <w:p>
      <w:pPr>
        <w:pStyle w:val="ListParagraph"/>
        <w:numPr>
          <w:ilvl w:val="0"/>
          <w:numId w:val="1"/>
        </w:numPr>
        <w:tabs>
          <w:tab w:pos="1272" w:val="left" w:leader="none"/>
        </w:tabs>
        <w:spacing w:line="249" w:lineRule="auto" w:before="0" w:after="0"/>
        <w:ind w:left="119" w:right="452" w:firstLine="600"/>
        <w:jc w:val="both"/>
        <w:rPr>
          <w:sz w:val="20"/>
        </w:rPr>
      </w:pPr>
      <w:r>
        <w:rPr>
          <w:sz w:val="20"/>
        </w:rPr>
        <w:t>Where the UTILITY has a compensable property interest in its existing location (herein referred to as private right-of-way) by reason of holding the fee, an easement or other property interest, evidence of such compensable property interest will be submitted to the STATE by the UTILITY for review and</w:t>
      </w:r>
      <w:r>
        <w:rPr>
          <w:spacing w:val="-40"/>
          <w:sz w:val="20"/>
        </w:rPr>
        <w:t> </w:t>
      </w:r>
      <w:r>
        <w:rPr>
          <w:sz w:val="20"/>
        </w:rPr>
        <w:t>approval.</w:t>
      </w:r>
    </w:p>
    <w:p>
      <w:pPr>
        <w:pStyle w:val="BodyText"/>
        <w:spacing w:before="1"/>
        <w:rPr>
          <w:sz w:val="21"/>
        </w:rPr>
      </w:pPr>
    </w:p>
    <w:p>
      <w:pPr>
        <w:pStyle w:val="ListParagraph"/>
        <w:numPr>
          <w:ilvl w:val="0"/>
          <w:numId w:val="1"/>
        </w:numPr>
        <w:tabs>
          <w:tab w:pos="1272" w:val="left" w:leader="none"/>
        </w:tabs>
        <w:spacing w:line="247" w:lineRule="auto" w:before="0" w:after="0"/>
        <w:ind w:left="119" w:right="452" w:firstLine="600"/>
        <w:jc w:val="both"/>
        <w:rPr>
          <w:sz w:val="20"/>
        </w:rPr>
      </w:pPr>
      <w:r>
        <w:rPr>
          <w:sz w:val="20"/>
        </w:rPr>
        <w:t>If the UTILITY is required to move all of its facilities from a portion of its private right-of-way, upon completion of the relocation provided for herein, the UTILITY will convey to the STATE by appropriate instrument the portion of its private right-of-way located within the right-of-way limits of the above</w:t>
      </w:r>
      <w:r>
        <w:rPr>
          <w:spacing w:val="-15"/>
          <w:sz w:val="20"/>
        </w:rPr>
        <w:t> </w:t>
      </w:r>
      <w:r>
        <w:rPr>
          <w:sz w:val="20"/>
        </w:rPr>
        <w:t>referencedproject.</w:t>
      </w:r>
    </w:p>
    <w:p>
      <w:pPr>
        <w:pStyle w:val="BodyText"/>
        <w:spacing w:before="5"/>
        <w:rPr>
          <w:sz w:val="21"/>
        </w:rPr>
      </w:pPr>
    </w:p>
    <w:p>
      <w:pPr>
        <w:pStyle w:val="ListParagraph"/>
        <w:numPr>
          <w:ilvl w:val="0"/>
          <w:numId w:val="1"/>
        </w:numPr>
        <w:tabs>
          <w:tab w:pos="1272" w:val="left" w:leader="none"/>
        </w:tabs>
        <w:spacing w:line="249" w:lineRule="auto" w:before="1" w:after="0"/>
        <w:ind w:left="117" w:right="456" w:firstLine="600"/>
        <w:jc w:val="both"/>
        <w:rPr>
          <w:sz w:val="20"/>
        </w:rPr>
      </w:pPr>
      <w:r>
        <w:rPr>
          <w:sz w:val="20"/>
        </w:rPr>
        <w:t>In the event the UTILITY is required to relocate any of its facilities which are located on its private right-of-way to a new location on public right-of-way or if any such facilities are to be retained in place within the public right-of-way due to this project, the following provisions will</w:t>
      </w:r>
      <w:r>
        <w:rPr>
          <w:spacing w:val="-15"/>
          <w:sz w:val="20"/>
        </w:rPr>
        <w:t> </w:t>
      </w:r>
      <w:r>
        <w:rPr>
          <w:sz w:val="20"/>
        </w:rPr>
        <w:t>apply:</w:t>
      </w:r>
    </w:p>
    <w:p>
      <w:pPr>
        <w:pStyle w:val="BodyText"/>
        <w:spacing w:before="10"/>
      </w:pPr>
    </w:p>
    <w:p>
      <w:pPr>
        <w:pStyle w:val="ListParagraph"/>
        <w:numPr>
          <w:ilvl w:val="1"/>
          <w:numId w:val="1"/>
        </w:numPr>
        <w:tabs>
          <w:tab w:pos="1920" w:val="left" w:leader="none"/>
        </w:tabs>
        <w:spacing w:line="249" w:lineRule="auto" w:before="0" w:after="0"/>
        <w:ind w:left="117" w:right="457" w:firstLine="1152"/>
        <w:jc w:val="both"/>
        <w:rPr>
          <w:sz w:val="20"/>
        </w:rPr>
      </w:pPr>
      <w:r>
        <w:rPr>
          <w:sz w:val="20"/>
        </w:rPr>
        <w:t>The cost of relocation will include reimbursement for acquisition of right-of-way by the UTILITY to place necessary guy wires and anchors on private lands adjacent to the highway right-of-way and the rights to cut, trim and remove, initially and from time to time as necessary, trees on private lands adjacent to the highway right-of-way which might then or thereafter endanger the facilities of the</w:t>
      </w:r>
      <w:r>
        <w:rPr>
          <w:spacing w:val="-19"/>
          <w:sz w:val="20"/>
        </w:rPr>
        <w:t> </w:t>
      </w:r>
      <w:r>
        <w:rPr>
          <w:sz w:val="20"/>
        </w:rPr>
        <w:t>UTILITY.</w:t>
      </w:r>
    </w:p>
    <w:p>
      <w:pPr>
        <w:pStyle w:val="BodyText"/>
        <w:spacing w:before="10"/>
      </w:pPr>
    </w:p>
    <w:p>
      <w:pPr>
        <w:pStyle w:val="ListParagraph"/>
        <w:numPr>
          <w:ilvl w:val="1"/>
          <w:numId w:val="1"/>
        </w:numPr>
        <w:tabs>
          <w:tab w:pos="1918" w:val="left" w:leader="none"/>
        </w:tabs>
        <w:spacing w:line="249" w:lineRule="auto" w:before="1" w:after="0"/>
        <w:ind w:left="114" w:right="454" w:firstLine="1152"/>
        <w:jc w:val="both"/>
        <w:rPr>
          <w:sz w:val="20"/>
        </w:rPr>
      </w:pPr>
      <w:r>
        <w:rPr>
          <w:sz w:val="20"/>
        </w:rPr>
        <w:t>Reimbursement for future relocation of the UTILITY'S facilities will be in accordance with State law in effect at the time the relocation is made; provided, however, the UTILITY will be reimbursed for the cost of any future relocation of the facilities, including the cost of acquisition of equivalent private right-of-way if such future relocation is outside the highway right-of-way and the relocation is required by the STATE, and provided that the prior relocation from private right-of-way to public right-of-way was without compensation to the UTILITY for its compensable property interest in its private</w:t>
      </w:r>
      <w:r>
        <w:rPr>
          <w:spacing w:val="-14"/>
          <w:sz w:val="20"/>
        </w:rPr>
        <w:t> </w:t>
      </w:r>
      <w:r>
        <w:rPr>
          <w:sz w:val="20"/>
        </w:rPr>
        <w:t>right-of-way.</w:t>
      </w:r>
    </w:p>
    <w:p>
      <w:pPr>
        <w:pStyle w:val="BodyText"/>
        <w:spacing w:before="1"/>
        <w:rPr>
          <w:sz w:val="21"/>
        </w:rPr>
      </w:pPr>
    </w:p>
    <w:p>
      <w:pPr>
        <w:pStyle w:val="ListParagraph"/>
        <w:numPr>
          <w:ilvl w:val="0"/>
          <w:numId w:val="1"/>
        </w:numPr>
        <w:tabs>
          <w:tab w:pos="1196" w:val="left" w:leader="none"/>
        </w:tabs>
        <w:spacing w:line="249" w:lineRule="auto" w:before="0" w:after="0"/>
        <w:ind w:left="115" w:right="458" w:firstLine="600"/>
        <w:jc w:val="both"/>
        <w:rPr>
          <w:sz w:val="20"/>
        </w:rPr>
      </w:pPr>
      <w:r>
        <w:rPr>
          <w:sz w:val="20"/>
        </w:rPr>
        <w:t>The UTILITY is responsible, and will not hold the State of Alabama, the Department of Transportation, the officials, officers, and employees, in both their official and individual capacities, and their agents and/or assigns responsible for any damages to private property, public utilities or the general public, caused by the conduct, (in accordance with Alabama and/or Federal law) of the UTILITY, its agents, servants, employees or facilities.</w:t>
      </w:r>
    </w:p>
    <w:p>
      <w:pPr>
        <w:pStyle w:val="BodyText"/>
        <w:rPr>
          <w:sz w:val="21"/>
        </w:rPr>
      </w:pPr>
    </w:p>
    <w:p>
      <w:pPr>
        <w:pStyle w:val="ListParagraph"/>
        <w:numPr>
          <w:ilvl w:val="0"/>
          <w:numId w:val="1"/>
        </w:numPr>
        <w:tabs>
          <w:tab w:pos="1289" w:val="left" w:leader="none"/>
        </w:tabs>
        <w:spacing w:line="249" w:lineRule="auto" w:before="0" w:after="0"/>
        <w:ind w:left="115" w:right="460" w:firstLine="631"/>
        <w:jc w:val="both"/>
        <w:rPr>
          <w:sz w:val="20"/>
        </w:rPr>
      </w:pPr>
      <w:r>
        <w:rPr>
          <w:sz w:val="20"/>
        </w:rPr>
        <w:t>By entering into this agreement, the UTILITY is not an agent of the State, its officers, employees, agents or assigns. The UTILITY is an independent entity from the State and nothing in this agreement creates an agency relationship between the parties.</w:t>
      </w:r>
    </w:p>
    <w:p>
      <w:pPr>
        <w:spacing w:after="0" w:line="249" w:lineRule="auto"/>
        <w:jc w:val="both"/>
        <w:rPr>
          <w:sz w:val="20"/>
        </w:rPr>
        <w:sectPr>
          <w:pgSz w:w="12240" w:h="15840"/>
          <w:pgMar w:header="769" w:footer="0" w:top="1200" w:bottom="280" w:left="1320" w:right="980"/>
        </w:sectPr>
      </w:pPr>
    </w:p>
    <w:p>
      <w:pPr>
        <w:pStyle w:val="ListParagraph"/>
        <w:numPr>
          <w:ilvl w:val="0"/>
          <w:numId w:val="1"/>
        </w:numPr>
        <w:tabs>
          <w:tab w:pos="1559" w:val="left" w:leader="none"/>
          <w:tab w:pos="1560" w:val="left" w:leader="none"/>
        </w:tabs>
        <w:spacing w:line="249" w:lineRule="auto" w:before="65" w:after="0"/>
        <w:ind w:left="119" w:right="963" w:firstLine="631"/>
        <w:jc w:val="left"/>
        <w:rPr>
          <w:sz w:val="20"/>
        </w:rPr>
      </w:pPr>
      <w:r>
        <w:rPr>
          <w:sz w:val="20"/>
        </w:rPr>
        <w:t>In the event that a Utility - Consultant Engineering Agreement for this project is entered into between the UTILITY and a Consulting Engineer, the following provisions will</w:t>
      </w:r>
      <w:r>
        <w:rPr>
          <w:spacing w:val="-11"/>
          <w:sz w:val="20"/>
        </w:rPr>
        <w:t> </w:t>
      </w:r>
      <w:r>
        <w:rPr>
          <w:sz w:val="20"/>
        </w:rPr>
        <w:t>apply:</w:t>
      </w:r>
    </w:p>
    <w:p>
      <w:pPr>
        <w:pStyle w:val="BodyText"/>
        <w:rPr>
          <w:sz w:val="21"/>
        </w:rPr>
      </w:pPr>
    </w:p>
    <w:p>
      <w:pPr>
        <w:pStyle w:val="ListParagraph"/>
        <w:numPr>
          <w:ilvl w:val="1"/>
          <w:numId w:val="1"/>
        </w:numPr>
        <w:tabs>
          <w:tab w:pos="1920" w:val="left" w:leader="none"/>
        </w:tabs>
        <w:spacing w:line="247" w:lineRule="auto" w:before="0" w:after="0"/>
        <w:ind w:left="120" w:right="454" w:firstLine="1149"/>
        <w:jc w:val="both"/>
        <w:rPr>
          <w:sz w:val="20"/>
        </w:rPr>
      </w:pPr>
      <w:r>
        <w:rPr>
          <w:sz w:val="20"/>
        </w:rPr>
        <w:t>The UTILITY has complied or will comply with and fulfill all obligations, requirements, notifications, and provisions of the Utility - Consultant Engineering Agreement executed for this project work which are for the benefit or protection of the</w:t>
      </w:r>
      <w:r>
        <w:rPr>
          <w:spacing w:val="-5"/>
          <w:sz w:val="20"/>
        </w:rPr>
        <w:t> </w:t>
      </w:r>
      <w:r>
        <w:rPr>
          <w:sz w:val="20"/>
        </w:rPr>
        <w:t>STATE.</w:t>
      </w:r>
    </w:p>
    <w:p>
      <w:pPr>
        <w:pStyle w:val="BodyText"/>
        <w:spacing w:before="5"/>
        <w:rPr>
          <w:sz w:val="21"/>
        </w:rPr>
      </w:pPr>
    </w:p>
    <w:p>
      <w:pPr>
        <w:pStyle w:val="ListParagraph"/>
        <w:numPr>
          <w:ilvl w:val="1"/>
          <w:numId w:val="1"/>
        </w:numPr>
        <w:tabs>
          <w:tab w:pos="1920" w:val="left" w:leader="none"/>
        </w:tabs>
        <w:spacing w:line="247" w:lineRule="auto" w:before="1" w:after="0"/>
        <w:ind w:left="120" w:right="451" w:firstLine="1149"/>
        <w:jc w:val="both"/>
        <w:rPr>
          <w:sz w:val="20"/>
        </w:rPr>
      </w:pPr>
      <w:r>
        <w:rPr>
          <w:sz w:val="20"/>
        </w:rPr>
        <w:t>The UTILITY has obtained or will obtain all approvals and authorizations required by the STATE which are provided for in the Utility - Consultant Engineering</w:t>
      </w:r>
      <w:r>
        <w:rPr>
          <w:spacing w:val="-5"/>
          <w:sz w:val="20"/>
        </w:rPr>
        <w:t> </w:t>
      </w:r>
      <w:r>
        <w:rPr>
          <w:sz w:val="20"/>
        </w:rPr>
        <w:t>Agreement.</w:t>
      </w:r>
    </w:p>
    <w:p>
      <w:pPr>
        <w:pStyle w:val="BodyText"/>
        <w:spacing w:before="2"/>
        <w:rPr>
          <w:sz w:val="21"/>
        </w:rPr>
      </w:pPr>
    </w:p>
    <w:p>
      <w:pPr>
        <w:pStyle w:val="ListParagraph"/>
        <w:numPr>
          <w:ilvl w:val="1"/>
          <w:numId w:val="1"/>
        </w:numPr>
        <w:tabs>
          <w:tab w:pos="1920" w:val="left" w:leader="none"/>
        </w:tabs>
        <w:spacing w:line="249" w:lineRule="auto" w:before="0" w:after="0"/>
        <w:ind w:left="120" w:right="456" w:firstLine="1149"/>
        <w:jc w:val="both"/>
        <w:rPr>
          <w:sz w:val="20"/>
        </w:rPr>
      </w:pPr>
      <w:r>
        <w:rPr>
          <w:sz w:val="20"/>
        </w:rPr>
        <w:t>No reimbursement payments will be due and none will be made by the STATE until the Utility</w:t>
      </w:r>
      <w:r>
        <w:rPr>
          <w:spacing w:val="-7"/>
          <w:sz w:val="20"/>
        </w:rPr>
        <w:t> </w:t>
      </w:r>
      <w:r>
        <w:rPr>
          <w:sz w:val="20"/>
        </w:rPr>
        <w:t>-</w:t>
      </w:r>
      <w:r>
        <w:rPr>
          <w:spacing w:val="-5"/>
          <w:sz w:val="20"/>
        </w:rPr>
        <w:t> </w:t>
      </w:r>
      <w:r>
        <w:rPr>
          <w:sz w:val="20"/>
        </w:rPr>
        <w:t>Consultant</w:t>
      </w:r>
      <w:r>
        <w:rPr>
          <w:spacing w:val="-5"/>
          <w:sz w:val="20"/>
        </w:rPr>
        <w:t> </w:t>
      </w:r>
      <w:r>
        <w:rPr>
          <w:sz w:val="20"/>
        </w:rPr>
        <w:t>Engineering</w:t>
      </w:r>
      <w:r>
        <w:rPr>
          <w:spacing w:val="-4"/>
          <w:sz w:val="20"/>
        </w:rPr>
        <w:t> </w:t>
      </w:r>
      <w:r>
        <w:rPr>
          <w:sz w:val="20"/>
        </w:rPr>
        <w:t>Agreement</w:t>
      </w:r>
      <w:r>
        <w:rPr>
          <w:spacing w:val="-5"/>
          <w:sz w:val="20"/>
        </w:rPr>
        <w:t> </w:t>
      </w:r>
      <w:r>
        <w:rPr>
          <w:sz w:val="20"/>
        </w:rPr>
        <w:t>is</w:t>
      </w:r>
      <w:r>
        <w:rPr>
          <w:spacing w:val="-6"/>
          <w:sz w:val="20"/>
        </w:rPr>
        <w:t> </w:t>
      </w:r>
      <w:r>
        <w:rPr>
          <w:sz w:val="20"/>
        </w:rPr>
        <w:t>complied</w:t>
      </w:r>
      <w:r>
        <w:rPr>
          <w:spacing w:val="-2"/>
          <w:sz w:val="20"/>
        </w:rPr>
        <w:t> </w:t>
      </w:r>
      <w:r>
        <w:rPr>
          <w:sz w:val="20"/>
        </w:rPr>
        <w:t>with</w:t>
      </w:r>
      <w:r>
        <w:rPr>
          <w:spacing w:val="-3"/>
          <w:sz w:val="20"/>
        </w:rPr>
        <w:t> </w:t>
      </w:r>
      <w:r>
        <w:rPr>
          <w:sz w:val="20"/>
        </w:rPr>
        <w:t>faithfully</w:t>
      </w:r>
      <w:r>
        <w:rPr>
          <w:spacing w:val="-9"/>
          <w:sz w:val="20"/>
        </w:rPr>
        <w:t> </w:t>
      </w:r>
      <w:r>
        <w:rPr>
          <w:sz w:val="20"/>
        </w:rPr>
        <w:t>by</w:t>
      </w:r>
      <w:r>
        <w:rPr>
          <w:spacing w:val="-6"/>
          <w:sz w:val="20"/>
        </w:rPr>
        <w:t> </w:t>
      </w:r>
      <w:r>
        <w:rPr>
          <w:sz w:val="20"/>
        </w:rPr>
        <w:t>the</w:t>
      </w:r>
      <w:r>
        <w:rPr>
          <w:spacing w:val="-5"/>
          <w:sz w:val="20"/>
        </w:rPr>
        <w:t> </w:t>
      </w:r>
      <w:r>
        <w:rPr>
          <w:sz w:val="20"/>
        </w:rPr>
        <w:t>UTILITY</w:t>
      </w:r>
      <w:r>
        <w:rPr>
          <w:spacing w:val="-4"/>
          <w:sz w:val="20"/>
        </w:rPr>
        <w:t> </w:t>
      </w:r>
      <w:r>
        <w:rPr>
          <w:sz w:val="20"/>
        </w:rPr>
        <w:t>and</w:t>
      </w:r>
      <w:r>
        <w:rPr>
          <w:spacing w:val="-2"/>
          <w:sz w:val="20"/>
        </w:rPr>
        <w:t> </w:t>
      </w:r>
      <w:r>
        <w:rPr>
          <w:sz w:val="20"/>
        </w:rPr>
        <w:t>Consulting</w:t>
      </w:r>
      <w:r>
        <w:rPr>
          <w:spacing w:val="-6"/>
          <w:sz w:val="20"/>
        </w:rPr>
        <w:t> </w:t>
      </w:r>
      <w:r>
        <w:rPr>
          <w:sz w:val="20"/>
        </w:rPr>
        <w:t>Engineer.</w:t>
      </w:r>
    </w:p>
    <w:p>
      <w:pPr>
        <w:pStyle w:val="BodyText"/>
        <w:rPr>
          <w:sz w:val="21"/>
        </w:rPr>
      </w:pPr>
    </w:p>
    <w:p>
      <w:pPr>
        <w:pStyle w:val="ListParagraph"/>
        <w:numPr>
          <w:ilvl w:val="0"/>
          <w:numId w:val="1"/>
        </w:numPr>
        <w:tabs>
          <w:tab w:pos="1272" w:val="left" w:leader="none"/>
        </w:tabs>
        <w:spacing w:line="249" w:lineRule="auto" w:before="0" w:after="0"/>
        <w:ind w:left="119" w:right="454" w:firstLine="600"/>
        <w:jc w:val="both"/>
        <w:rPr>
          <w:sz w:val="20"/>
        </w:rPr>
      </w:pPr>
      <w:r>
        <w:rPr>
          <w:sz w:val="20"/>
        </w:rPr>
        <w:t>Nothing contained in this Agreement, or in its execution, shall be construed to alter or affect the title of the STATE to the public right-of-way nor to increase, decrease or modify in any way the rights of the UTILITY provided by law with respect to the construction, operation or maintenance of its facilities on </w:t>
      </w:r>
      <w:r>
        <w:rPr>
          <w:spacing w:val="4"/>
          <w:sz w:val="20"/>
        </w:rPr>
        <w:t>the </w:t>
      </w:r>
      <w:r>
        <w:rPr>
          <w:sz w:val="20"/>
        </w:rPr>
        <w:t>public right-of- way.</w:t>
      </w:r>
    </w:p>
    <w:p>
      <w:pPr>
        <w:pStyle w:val="BodyText"/>
        <w:spacing w:before="11"/>
      </w:pPr>
    </w:p>
    <w:p>
      <w:pPr>
        <w:pStyle w:val="ListParagraph"/>
        <w:numPr>
          <w:ilvl w:val="0"/>
          <w:numId w:val="1"/>
        </w:numPr>
        <w:tabs>
          <w:tab w:pos="1272" w:val="left" w:leader="none"/>
        </w:tabs>
        <w:spacing w:line="249" w:lineRule="auto" w:before="0" w:after="0"/>
        <w:ind w:left="120" w:right="457" w:firstLine="597"/>
        <w:jc w:val="both"/>
        <w:rPr>
          <w:sz w:val="20"/>
        </w:rPr>
      </w:pPr>
      <w:r>
        <w:rPr>
          <w:sz w:val="20"/>
        </w:rPr>
        <w:t>Paragraph 15 set forth below is applicable to this Agreement only if Federal appropriated funds are available or will be available in the project by which the relocation required by this Agreement</w:t>
      </w:r>
      <w:r>
        <w:rPr>
          <w:spacing w:val="-16"/>
          <w:sz w:val="20"/>
        </w:rPr>
        <w:t> </w:t>
      </w:r>
      <w:r>
        <w:rPr>
          <w:sz w:val="20"/>
        </w:rPr>
        <w:t>isnecessitated.</w:t>
      </w:r>
    </w:p>
    <w:p>
      <w:pPr>
        <w:pStyle w:val="BodyText"/>
        <w:rPr>
          <w:sz w:val="21"/>
        </w:rPr>
      </w:pPr>
    </w:p>
    <w:p>
      <w:pPr>
        <w:pStyle w:val="ListParagraph"/>
        <w:numPr>
          <w:ilvl w:val="0"/>
          <w:numId w:val="1"/>
        </w:numPr>
        <w:tabs>
          <w:tab w:pos="1271" w:val="left" w:leader="none"/>
          <w:tab w:pos="1272" w:val="left" w:leader="none"/>
        </w:tabs>
        <w:spacing w:line="501" w:lineRule="auto" w:before="0" w:after="0"/>
        <w:ind w:left="720" w:right="1256" w:hanging="1"/>
        <w:jc w:val="left"/>
        <w:rPr>
          <w:sz w:val="20"/>
        </w:rPr>
      </w:pPr>
      <w:r>
        <w:rPr>
          <w:sz w:val="20"/>
        </w:rPr>
        <w:t>In the event any Federal Funds are utilized for this work, the following certification is made: The undersigned certifies, to the best of his or her knowledge and belief,</w:t>
      </w:r>
      <w:r>
        <w:rPr>
          <w:spacing w:val="-14"/>
          <w:sz w:val="20"/>
        </w:rPr>
        <w:t> </w:t>
      </w:r>
      <w:r>
        <w:rPr>
          <w:sz w:val="20"/>
        </w:rPr>
        <w:t>that:</w:t>
      </w:r>
    </w:p>
    <w:p>
      <w:pPr>
        <w:pStyle w:val="ListParagraph"/>
        <w:numPr>
          <w:ilvl w:val="0"/>
          <w:numId w:val="2"/>
        </w:numPr>
        <w:tabs>
          <w:tab w:pos="1920" w:val="left" w:leader="none"/>
        </w:tabs>
        <w:spacing w:line="249" w:lineRule="auto" w:before="0" w:after="0"/>
        <w:ind w:left="119" w:right="453" w:firstLine="1149"/>
        <w:jc w:val="both"/>
        <w:rPr>
          <w:sz w:val="20"/>
        </w:rPr>
      </w:pPr>
      <w:r>
        <w:rPr>
          <w:sz w:val="20"/>
        </w:rPr>
        <w:t>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w:t>
      </w:r>
      <w:r>
        <w:rPr>
          <w:spacing w:val="3"/>
          <w:sz w:val="20"/>
        </w:rPr>
        <w:t> </w:t>
      </w:r>
      <w:r>
        <w:rPr>
          <w:sz w:val="20"/>
        </w:rPr>
        <w:t>agreement.</w:t>
      </w:r>
    </w:p>
    <w:p>
      <w:pPr>
        <w:pStyle w:val="BodyText"/>
        <w:spacing w:before="9"/>
      </w:pPr>
    </w:p>
    <w:p>
      <w:pPr>
        <w:pStyle w:val="ListParagraph"/>
        <w:numPr>
          <w:ilvl w:val="0"/>
          <w:numId w:val="2"/>
        </w:numPr>
        <w:tabs>
          <w:tab w:pos="1920" w:val="left" w:leader="none"/>
        </w:tabs>
        <w:spacing w:line="249" w:lineRule="auto" w:before="0" w:after="0"/>
        <w:ind w:left="119" w:right="450" w:firstLine="1149"/>
        <w:jc w:val="both"/>
        <w:rPr>
          <w:sz w:val="20"/>
        </w:rPr>
      </w:pPr>
      <w:r>
        <w:rPr>
          <w:sz w:val="20"/>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w:t>
      </w:r>
      <w:r>
        <w:rPr>
          <w:spacing w:val="-9"/>
          <w:sz w:val="20"/>
        </w:rPr>
        <w:t> </w:t>
      </w:r>
      <w:r>
        <w:rPr>
          <w:sz w:val="20"/>
        </w:rPr>
        <w:t>instructions.</w:t>
      </w:r>
    </w:p>
    <w:p>
      <w:pPr>
        <w:pStyle w:val="BodyText"/>
        <w:rPr>
          <w:sz w:val="21"/>
        </w:rPr>
      </w:pPr>
    </w:p>
    <w:p>
      <w:pPr>
        <w:pStyle w:val="ListParagraph"/>
        <w:numPr>
          <w:ilvl w:val="0"/>
          <w:numId w:val="2"/>
        </w:numPr>
        <w:tabs>
          <w:tab w:pos="1920" w:val="left" w:leader="none"/>
        </w:tabs>
        <w:spacing w:line="249" w:lineRule="auto" w:before="0" w:after="0"/>
        <w:ind w:left="117" w:right="452" w:firstLine="1151"/>
        <w:jc w:val="both"/>
        <w:rPr>
          <w:sz w:val="20"/>
        </w:rPr>
      </w:pPr>
      <w:r>
        <w:rPr>
          <w:sz w:val="20"/>
        </w:rPr>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w:t>
      </w:r>
      <w:r>
        <w:rPr>
          <w:spacing w:val="-14"/>
          <w:sz w:val="20"/>
        </w:rPr>
        <w:t> </w:t>
      </w:r>
      <w:r>
        <w:rPr>
          <w:sz w:val="20"/>
        </w:rPr>
        <w:t>accordingly.</w:t>
      </w:r>
    </w:p>
    <w:p>
      <w:pPr>
        <w:pStyle w:val="BodyText"/>
        <w:spacing w:before="10"/>
      </w:pPr>
    </w:p>
    <w:p>
      <w:pPr>
        <w:pStyle w:val="BodyText"/>
        <w:spacing w:line="249" w:lineRule="auto"/>
        <w:ind w:left="117" w:right="455" w:firstLine="600"/>
        <w:jc w:val="both"/>
      </w:pPr>
      <w:r>
        <w:rPr/>
        <w:t>This certification is a material representation of fact upon which reliance was placed when this transaction was made or entered into. Submission of this certification is a prerequisite for making or entering into this transaction imposed by section 31 U. S. C. Section 1352. Any person who fails to file the required certification shall be subject to civil penalty of not less than $10,000 and not more than $100,000 for each such</w:t>
      </w:r>
      <w:r>
        <w:rPr>
          <w:spacing w:val="-13"/>
        </w:rPr>
        <w:t> </w:t>
      </w:r>
      <w:r>
        <w:rPr/>
        <w:t>failure.</w:t>
      </w:r>
    </w:p>
    <w:p>
      <w:pPr>
        <w:pStyle w:val="BodyText"/>
        <w:spacing w:before="10"/>
        <w:rPr>
          <w:sz w:val="23"/>
        </w:rPr>
      </w:pPr>
    </w:p>
    <w:p>
      <w:pPr>
        <w:pStyle w:val="ListParagraph"/>
        <w:numPr>
          <w:ilvl w:val="0"/>
          <w:numId w:val="1"/>
        </w:numPr>
        <w:tabs>
          <w:tab w:pos="1352" w:val="left" w:leader="none"/>
        </w:tabs>
        <w:spacing w:line="249" w:lineRule="auto" w:before="0" w:after="0"/>
        <w:ind w:left="115" w:right="457" w:firstLine="604"/>
        <w:jc w:val="both"/>
        <w:rPr>
          <w:sz w:val="20"/>
        </w:rPr>
      </w:pPr>
      <w:r>
        <w:rPr>
          <w:sz w:val="20"/>
        </w:rPr>
        <w:t>By signing this contract, the contracting parties affirm, for the duration of the agreement, that they will not violate federal immigration law or knowingly employ, hire for employment, or continue to employ an unauthorized alien within the State of Alabama. Furthermore, a contracting party found to be in violation of this provision shall be deemed in breach of the agreement and shall be responsible for all damages resulting</w:t>
      </w:r>
      <w:r>
        <w:rPr>
          <w:spacing w:val="-31"/>
          <w:sz w:val="20"/>
        </w:rPr>
        <w:t> </w:t>
      </w:r>
      <w:r>
        <w:rPr>
          <w:sz w:val="20"/>
        </w:rPr>
        <w:t>therefrom.</w:t>
      </w:r>
    </w:p>
    <w:p>
      <w:pPr>
        <w:spacing w:after="0" w:line="249" w:lineRule="auto"/>
        <w:jc w:val="both"/>
        <w:rPr>
          <w:sz w:val="20"/>
        </w:rPr>
        <w:sectPr>
          <w:pgSz w:w="12240" w:h="15840"/>
          <w:pgMar w:header="769" w:footer="0" w:top="1200" w:bottom="280" w:left="1320" w:right="980"/>
        </w:sectPr>
      </w:pPr>
    </w:p>
    <w:p>
      <w:pPr>
        <w:pStyle w:val="BodyText"/>
      </w:pPr>
    </w:p>
    <w:p>
      <w:pPr>
        <w:pStyle w:val="BodyText"/>
        <w:spacing w:before="1"/>
      </w:pPr>
    </w:p>
    <w:p>
      <w:pPr>
        <w:pStyle w:val="ListParagraph"/>
        <w:numPr>
          <w:ilvl w:val="0"/>
          <w:numId w:val="1"/>
        </w:numPr>
        <w:tabs>
          <w:tab w:pos="1352" w:val="left" w:leader="none"/>
          <w:tab w:pos="1353" w:val="left" w:leader="none"/>
        </w:tabs>
        <w:spacing w:line="249" w:lineRule="auto" w:before="0" w:after="0"/>
        <w:ind w:left="115" w:right="540" w:firstLine="604"/>
        <w:jc w:val="left"/>
        <w:rPr>
          <w:sz w:val="20"/>
        </w:rPr>
      </w:pPr>
      <w:r>
        <w:rPr>
          <w:sz w:val="20"/>
        </w:rPr>
        <w:t>It is agreed that the terms and commitments contained herein shall not be constituted as a debt of the State of Alabama in violation of Article 11, Section 213 of the Constitution of Alabama, 1901, as amended by the Amendment Number 26. It is further agreed that if any provision of this AGREEMENT shall contravene any statute or Constitutional provision of amendment, either now in effect or which may, during the course of this AGREEMENT, be enacted, then the conflicting provision in the AGREEMENT shall be deemed null and void. When considering settlement of controversies arising from or related to the work covered by this AGREEMENT, the parties may agree to use appropriate forms of non-binding alternative dispute</w:t>
      </w:r>
      <w:r>
        <w:rPr>
          <w:spacing w:val="-10"/>
          <w:sz w:val="20"/>
        </w:rPr>
        <w:t> </w:t>
      </w:r>
      <w:r>
        <w:rPr>
          <w:sz w:val="20"/>
        </w:rPr>
        <w:t>resolution.</w:t>
      </w:r>
    </w:p>
    <w:p>
      <w:pPr>
        <w:pStyle w:val="ListParagraph"/>
        <w:numPr>
          <w:ilvl w:val="0"/>
          <w:numId w:val="1"/>
        </w:numPr>
        <w:tabs>
          <w:tab w:pos="1351" w:val="left" w:leader="none"/>
          <w:tab w:pos="1352" w:val="left" w:leader="none"/>
        </w:tabs>
        <w:spacing w:line="240" w:lineRule="auto" w:before="121" w:after="0"/>
        <w:ind w:left="1351" w:right="0" w:hanging="632"/>
        <w:jc w:val="left"/>
        <w:rPr>
          <w:sz w:val="20"/>
        </w:rPr>
      </w:pPr>
      <w:r>
        <w:rPr>
          <w:sz w:val="20"/>
        </w:rPr>
        <w:t>Termination due to insufficient</w:t>
      </w:r>
      <w:r>
        <w:rPr>
          <w:spacing w:val="-1"/>
          <w:sz w:val="20"/>
        </w:rPr>
        <w:t> </w:t>
      </w:r>
      <w:r>
        <w:rPr>
          <w:sz w:val="20"/>
        </w:rPr>
        <w:t>funds:</w:t>
      </w:r>
    </w:p>
    <w:p>
      <w:pPr>
        <w:pStyle w:val="BodyText"/>
        <w:spacing w:before="8"/>
        <w:rPr>
          <w:sz w:val="21"/>
        </w:rPr>
      </w:pPr>
    </w:p>
    <w:p>
      <w:pPr>
        <w:pStyle w:val="ListParagraph"/>
        <w:numPr>
          <w:ilvl w:val="1"/>
          <w:numId w:val="1"/>
        </w:numPr>
        <w:tabs>
          <w:tab w:pos="1618" w:val="left" w:leader="none"/>
        </w:tabs>
        <w:spacing w:line="249" w:lineRule="auto" w:before="1" w:after="0"/>
        <w:ind w:left="1617" w:right="1436" w:hanging="188"/>
        <w:jc w:val="left"/>
        <w:rPr>
          <w:sz w:val="20"/>
        </w:rPr>
      </w:pPr>
      <w:r>
        <w:rPr>
          <w:sz w:val="20"/>
        </w:rPr>
        <w:t>If the agreement term is to exceed more than one fiscal year, then said agreement is subject to termination in the event that funds should not be appropriated for continued payment of the agreement in subsequent fiscal</w:t>
      </w:r>
      <w:r>
        <w:rPr>
          <w:spacing w:val="-3"/>
          <w:sz w:val="20"/>
        </w:rPr>
        <w:t> </w:t>
      </w:r>
      <w:r>
        <w:rPr>
          <w:sz w:val="20"/>
        </w:rPr>
        <w:t>years.</w:t>
      </w:r>
    </w:p>
    <w:p>
      <w:pPr>
        <w:pStyle w:val="BodyText"/>
        <w:rPr>
          <w:sz w:val="21"/>
        </w:rPr>
      </w:pPr>
    </w:p>
    <w:p>
      <w:pPr>
        <w:pStyle w:val="ListParagraph"/>
        <w:numPr>
          <w:ilvl w:val="1"/>
          <w:numId w:val="1"/>
        </w:numPr>
        <w:tabs>
          <w:tab w:pos="1618" w:val="left" w:leader="none"/>
        </w:tabs>
        <w:spacing w:line="247" w:lineRule="auto" w:before="0" w:after="0"/>
        <w:ind w:left="1617" w:right="1422" w:hanging="187"/>
        <w:jc w:val="left"/>
        <w:rPr>
          <w:sz w:val="20"/>
        </w:rPr>
      </w:pPr>
      <w:r>
        <w:rPr>
          <w:sz w:val="20"/>
        </w:rPr>
        <w:t>In the event of proration of the fund from which payment under this AGREEMENT is to be made, agreement will be subject to</w:t>
      </w:r>
      <w:r>
        <w:rPr>
          <w:spacing w:val="-2"/>
          <w:sz w:val="20"/>
        </w:rPr>
        <w:t> </w:t>
      </w:r>
      <w:r>
        <w:rPr>
          <w:sz w:val="20"/>
        </w:rPr>
        <w:t>termination.</w:t>
      </w:r>
    </w:p>
    <w:p>
      <w:pPr>
        <w:pStyle w:val="ListParagraph"/>
        <w:numPr>
          <w:ilvl w:val="0"/>
          <w:numId w:val="1"/>
        </w:numPr>
        <w:tabs>
          <w:tab w:pos="1351" w:val="left" w:leader="none"/>
          <w:tab w:pos="1352" w:val="left" w:leader="none"/>
        </w:tabs>
        <w:spacing w:line="249" w:lineRule="auto" w:before="124" w:after="0"/>
        <w:ind w:left="115" w:right="529" w:firstLine="604"/>
        <w:jc w:val="left"/>
        <w:rPr>
          <w:sz w:val="20"/>
        </w:rPr>
      </w:pPr>
      <w:r>
        <w:rPr>
          <w:sz w:val="20"/>
        </w:rPr>
        <w:t>The STATE and CONSULTANT acknowledge and agree that, notwithstanding any concurrence by the Federal Government in or approval of the solicitation or award of the underlying contract, absent the express written consent by the Federal Government, the Federal Government is not a party to this contract and shall not be subject to any obligations of or liabilities to the STATE, CONSULTANT, or any other party (whether or not a party to the contract) pertaining to any matter resulting from the underlying contract. The CONSULTANT agrees to include the above clause in each subcontract financed in whole or in part with Federal assistance provided to FHWA. It is further agreed that the clause shall not be modified, except to identify the subcontractor who will be subject to its</w:t>
      </w:r>
      <w:r>
        <w:rPr>
          <w:spacing w:val="-1"/>
          <w:sz w:val="20"/>
        </w:rPr>
        <w:t> </w:t>
      </w:r>
      <w:r>
        <w:rPr>
          <w:sz w:val="20"/>
        </w:rPr>
        <w:t>provisions.</w:t>
      </w:r>
    </w:p>
    <w:p>
      <w:pPr>
        <w:spacing w:after="0" w:line="249" w:lineRule="auto"/>
        <w:jc w:val="left"/>
        <w:rPr>
          <w:sz w:val="20"/>
        </w:rPr>
        <w:sectPr>
          <w:pgSz w:w="12240" w:h="15840"/>
          <w:pgMar w:header="769" w:footer="0" w:top="1200" w:bottom="280" w:left="1320" w:right="980"/>
        </w:sectPr>
      </w:pPr>
    </w:p>
    <w:p>
      <w:pPr>
        <w:pStyle w:val="BodyText"/>
        <w:spacing w:before="7"/>
        <w:rPr>
          <w:sz w:val="18"/>
        </w:rPr>
      </w:pPr>
    </w:p>
    <w:p>
      <w:pPr>
        <w:pStyle w:val="BodyText"/>
        <w:spacing w:line="249" w:lineRule="auto" w:before="91"/>
        <w:ind w:left="120" w:right="102" w:firstLine="302"/>
        <w:jc w:val="both"/>
      </w:pPr>
      <w:r>
        <w:rPr/>
        <w:t>IN WITNESS WHEREOF, the parties hereto have caused this Agreement to be executed by their respective officers, officials and persons thereunto duly authorized, and the agreement is deemed to be dated and to be effective on the date hereinafter stated as the date of its approval by the Governor of Alabama.</w:t>
      </w:r>
    </w:p>
    <w:p>
      <w:pPr>
        <w:pStyle w:val="BodyText"/>
        <w:spacing w:before="10"/>
      </w:pPr>
    </w:p>
    <w:p>
      <w:pPr>
        <w:pStyle w:val="BodyText"/>
        <w:ind w:left="2239" w:right="1252"/>
        <w:jc w:val="center"/>
      </w:pPr>
      <w:r>
        <w:rPr/>
        <w:pict>
          <v:line style="position:absolute;mso-position-horizontal-relative:page;mso-position-vertical-relative:paragraph;z-index:251662336" from="369.350006pt,15.005957pt" to="562.900006pt,15.005957pt" stroked="true" strokeweight=".48pt" strokecolor="#000000">
            <v:stroke dashstyle="solid"/>
            <w10:wrap type="none"/>
          </v:line>
        </w:pict>
      </w:r>
      <w:r>
        <w:rPr/>
        <w:t>WITNESS:</w:t>
      </w:r>
    </w:p>
    <w:p>
      <w:pPr>
        <w:pStyle w:val="BodyText"/>
        <w:rPr>
          <w:sz w:val="22"/>
        </w:rPr>
      </w:pPr>
    </w:p>
    <w:p>
      <w:pPr>
        <w:pStyle w:val="BodyText"/>
        <w:spacing w:before="127"/>
        <w:ind w:left="120"/>
      </w:pPr>
      <w:r>
        <w:rPr/>
        <w:t>RECOMMENDED FOR APPROVAL:</w:t>
      </w:r>
    </w:p>
    <w:p>
      <w:pPr>
        <w:pStyle w:val="BodyText"/>
        <w:spacing w:before="5"/>
        <w:rPr>
          <w:sz w:val="23"/>
        </w:rPr>
      </w:pPr>
    </w:p>
    <w:p>
      <w:pPr>
        <w:spacing w:after="0"/>
        <w:rPr>
          <w:sz w:val="23"/>
        </w:rPr>
        <w:sectPr>
          <w:pgSz w:w="12240" w:h="15840"/>
          <w:pgMar w:header="769" w:footer="0" w:top="1200" w:bottom="280" w:left="1320" w:right="980"/>
        </w:sectPr>
      </w:pPr>
    </w:p>
    <w:p>
      <w:pPr>
        <w:pStyle w:val="BodyText"/>
        <w:spacing w:before="110"/>
        <w:ind w:left="120"/>
      </w:pPr>
      <w:r>
        <w:rPr/>
        <w:pict>
          <v:group style="position:absolute;margin-left:342pt;margin-top:4.745735pt;width:225pt;height:.5pt;mso-position-horizontal-relative:page;mso-position-vertical-relative:paragraph;z-index:251663360" coordorigin="6840,95" coordsize="4500,10">
            <v:line style="position:absolute" from="6840,100" to="11258,100" stroked="true" strokeweight=".48pt" strokecolor="#000000">
              <v:stroke dashstyle="solid"/>
            </v:line>
            <v:rect style="position:absolute;left:11257;top:94;width:83;height:10" filled="true" fillcolor="#000000" stroked="false">
              <v:fill type="solid"/>
            </v:rect>
            <w10:wrap type="none"/>
          </v:group>
        </w:pict>
      </w:r>
      <w:r>
        <w:rPr/>
        <w:t>BY:</w:t>
      </w:r>
    </w:p>
    <w:p>
      <w:pPr>
        <w:pStyle w:val="BodyText"/>
        <w:rPr>
          <w:sz w:val="33"/>
        </w:rPr>
      </w:pPr>
      <w:r>
        <w:rPr/>
        <w:br w:type="column"/>
      </w:r>
      <w:r>
        <w:rPr>
          <w:sz w:val="33"/>
        </w:rPr>
      </w:r>
    </w:p>
    <w:p>
      <w:pPr>
        <w:spacing w:before="0"/>
        <w:ind w:left="120" w:right="0" w:firstLine="0"/>
        <w:jc w:val="left"/>
        <w:rPr>
          <w:sz w:val="24"/>
        </w:rPr>
      </w:pPr>
      <w:r>
        <w:rPr/>
        <w:pict>
          <v:line style="position:absolute;mso-position-horizontal-relative:page;mso-position-vertical-relative:paragraph;z-index:251664384" from="99.25pt,1.453137pt" to="297.350pt,1.453137pt" stroked="true" strokeweight=".48pt" strokecolor="#000000">
            <v:stroke dashstyle="solid"/>
            <w10:wrap type="none"/>
          </v:line>
        </w:pict>
      </w:r>
      <w:bookmarkStart w:name="Signature" w:id="2"/>
      <w:bookmarkEnd w:id="2"/>
      <w:r>
        <w:rPr/>
      </w:r>
      <w:r>
        <w:rPr>
          <w:sz w:val="24"/>
        </w:rPr>
        <w:t>Region Engineer</w:t>
      </w:r>
    </w:p>
    <w:p>
      <w:pPr>
        <w:pStyle w:val="Heading2"/>
        <w:spacing w:before="91"/>
      </w:pPr>
      <w:r>
        <w:rPr/>
        <w:br w:type="column"/>
      </w:r>
      <w:bookmarkStart w:name="(Legal Name of Utility)" w:id="3"/>
      <w:bookmarkEnd w:id="3"/>
      <w:r>
        <w:rPr/>
      </w:r>
      <w:r>
        <w:rPr/>
        <w:t>(Legal Name of Utility)</w:t>
      </w:r>
    </w:p>
    <w:p>
      <w:pPr>
        <w:spacing w:after="0"/>
        <w:sectPr>
          <w:type w:val="continuous"/>
          <w:pgSz w:w="12240" w:h="15840"/>
          <w:pgMar w:top="1200" w:bottom="280" w:left="1320" w:right="980"/>
          <w:cols w:num="3" w:equalWidth="0">
            <w:col w:w="492" w:space="1205"/>
            <w:col w:w="1779" w:space="2997"/>
            <w:col w:w="3467"/>
          </w:cols>
        </w:sectPr>
      </w:pPr>
    </w:p>
    <w:p>
      <w:pPr>
        <w:pStyle w:val="BodyText"/>
        <w:spacing w:before="11"/>
        <w:rPr>
          <w:sz w:val="23"/>
        </w:rPr>
      </w:pPr>
    </w:p>
    <w:p>
      <w:pPr>
        <w:spacing w:after="0"/>
        <w:rPr>
          <w:sz w:val="23"/>
        </w:rPr>
        <w:sectPr>
          <w:type w:val="continuous"/>
          <w:pgSz w:w="12240" w:h="15840"/>
          <w:pgMar w:top="1200" w:bottom="280" w:left="1320" w:right="980"/>
        </w:sectPr>
      </w:pPr>
    </w:p>
    <w:p>
      <w:pPr>
        <w:pStyle w:val="BodyText"/>
        <w:rPr>
          <w:sz w:val="22"/>
        </w:rPr>
      </w:pPr>
    </w:p>
    <w:p>
      <w:pPr>
        <w:pStyle w:val="BodyText"/>
        <w:rPr>
          <w:sz w:val="22"/>
        </w:rPr>
      </w:pPr>
    </w:p>
    <w:p>
      <w:pPr>
        <w:pStyle w:val="BodyText"/>
        <w:spacing w:before="195"/>
        <w:ind w:left="120"/>
      </w:pPr>
      <w:r>
        <w:rPr/>
        <w:t>BY:</w:t>
      </w:r>
    </w:p>
    <w:p>
      <w:pPr>
        <w:pStyle w:val="BodyText"/>
        <w:rPr>
          <w:sz w:val="24"/>
        </w:rPr>
      </w:pPr>
      <w:r>
        <w:rPr/>
        <w:br w:type="column"/>
      </w:r>
      <w:r>
        <w:rPr>
          <w:sz w:val="24"/>
        </w:rPr>
      </w:r>
    </w:p>
    <w:p>
      <w:pPr>
        <w:pStyle w:val="BodyText"/>
        <w:rPr>
          <w:sz w:val="24"/>
        </w:rPr>
      </w:pPr>
    </w:p>
    <w:p>
      <w:pPr>
        <w:pStyle w:val="BodyText"/>
        <w:rPr>
          <w:sz w:val="24"/>
        </w:rPr>
      </w:pPr>
    </w:p>
    <w:p>
      <w:pPr>
        <w:pStyle w:val="Heading2"/>
        <w:spacing w:before="164"/>
      </w:pPr>
      <w:r>
        <w:rPr/>
        <w:pict>
          <v:line style="position:absolute;mso-position-horizontal-relative:page;mso-position-vertical-relative:paragraph;z-index:251666432" from="99.25pt,8.669531pt" to="297.350pt,8.669531pt" stroked="true" strokeweight=".48pt" strokecolor="#000000">
            <v:stroke dashstyle="solid"/>
            <w10:wrap type="none"/>
          </v:line>
        </w:pict>
      </w:r>
      <w:bookmarkStart w:name="Signature" w:id="4"/>
      <w:bookmarkEnd w:id="4"/>
      <w:r>
        <w:rPr/>
      </w:r>
      <w:bookmarkStart w:name="Philip A. Shamburger" w:id="5"/>
      <w:bookmarkEnd w:id="5"/>
      <w:r>
        <w:rPr/>
      </w:r>
      <w:r>
        <w:rPr/>
        <w:t>Philip A. Shamburger</w:t>
      </w:r>
    </w:p>
    <w:p>
      <w:pPr>
        <w:spacing w:before="91"/>
        <w:ind w:left="120" w:right="0" w:firstLine="0"/>
        <w:jc w:val="left"/>
        <w:rPr>
          <w:sz w:val="20"/>
        </w:rPr>
      </w:pPr>
      <w:r>
        <w:rPr/>
        <w:br w:type="column"/>
      </w:r>
      <w:r>
        <w:rPr>
          <w:sz w:val="20"/>
        </w:rPr>
        <w:t>BY:</w:t>
      </w:r>
    </w:p>
    <w:p>
      <w:pPr>
        <w:pStyle w:val="BodyText"/>
        <w:rPr>
          <w:sz w:val="33"/>
        </w:rPr>
      </w:pPr>
      <w:r>
        <w:rPr/>
        <w:br w:type="column"/>
      </w:r>
      <w:r>
        <w:rPr>
          <w:sz w:val="33"/>
        </w:rPr>
      </w:r>
    </w:p>
    <w:p>
      <w:pPr>
        <w:pStyle w:val="Heading2"/>
      </w:pPr>
      <w:r>
        <w:rPr/>
        <w:pict>
          <v:group style="position:absolute;margin-left:340.200012pt;margin-top:.279507pt;width:222.7pt;height:.550pt;mso-position-horizontal-relative:page;mso-position-vertical-relative:paragraph;z-index:251665408" coordorigin="6804,6" coordsize="4454,11">
            <v:line style="position:absolute" from="6804,11" to="11258,11" stroked="true" strokeweight=".48pt" strokecolor="#000000">
              <v:stroke dashstyle="solid"/>
            </v:line>
            <v:line style="position:absolute" from="6804,10" to="11258,10" stroked="true" strokeweight=".48pt" strokecolor="#000000">
              <v:stroke dashstyle="solid"/>
            </v:line>
            <w10:wrap type="none"/>
          </v:group>
        </w:pict>
      </w:r>
      <w:bookmarkStart w:name="(Signature and Title)" w:id="6"/>
      <w:bookmarkEnd w:id="6"/>
      <w:r>
        <w:rPr/>
      </w:r>
      <w:r>
        <w:rPr/>
        <w:t>(Signature and Title)</w:t>
      </w:r>
    </w:p>
    <w:p>
      <w:pPr>
        <w:spacing w:after="0"/>
        <w:sectPr>
          <w:type w:val="continuous"/>
          <w:pgSz w:w="12240" w:h="15840"/>
          <w:pgMar w:top="1200" w:bottom="280" w:left="1320" w:right="980"/>
          <w:cols w:num="4" w:equalWidth="0">
            <w:col w:w="492" w:space="979"/>
            <w:col w:w="2087" w:space="1329"/>
            <w:col w:w="492" w:space="1295"/>
            <w:col w:w="3266"/>
          </w:cols>
        </w:sectPr>
      </w:pPr>
    </w:p>
    <w:p>
      <w:pPr>
        <w:tabs>
          <w:tab w:pos="5723" w:val="left" w:leader="none"/>
        </w:tabs>
        <w:spacing w:before="56"/>
        <w:ind w:left="0" w:right="240" w:firstLine="0"/>
        <w:jc w:val="center"/>
        <w:rPr>
          <w:sz w:val="22"/>
        </w:rPr>
      </w:pPr>
      <w:r>
        <w:rPr/>
        <w:pict>
          <v:line style="position:absolute;mso-position-horizontal-relative:page;mso-position-vertical-relative:paragraph;z-index:251667456" from="340.200012pt,3.238574pt" to="562.900012pt,3.238574pt" stroked="true" strokeweight=".48pt" strokecolor="#000000">
            <v:stroke dashstyle="solid"/>
            <w10:wrap type="none"/>
          </v:line>
        </w:pict>
      </w:r>
      <w:r>
        <w:rPr>
          <w:sz w:val="22"/>
        </w:rPr>
        <w:t>Right of Way</w:t>
      </w:r>
      <w:r>
        <w:rPr>
          <w:spacing w:val="-13"/>
          <w:sz w:val="22"/>
        </w:rPr>
        <w:t> </w:t>
      </w:r>
      <w:r>
        <w:rPr>
          <w:sz w:val="22"/>
        </w:rPr>
        <w:t>Bureau</w:t>
      </w:r>
      <w:r>
        <w:rPr>
          <w:spacing w:val="-3"/>
          <w:sz w:val="22"/>
        </w:rPr>
        <w:t> </w:t>
      </w:r>
      <w:r>
        <w:rPr>
          <w:sz w:val="22"/>
        </w:rPr>
        <w:t>Chief</w:t>
        <w:tab/>
        <w:t>(Typed Name)</w:t>
      </w:r>
    </w:p>
    <w:p>
      <w:pPr>
        <w:pStyle w:val="BodyText"/>
      </w:pPr>
    </w:p>
    <w:p>
      <w:pPr>
        <w:pStyle w:val="BodyText"/>
        <w:spacing w:before="2"/>
        <w:rPr>
          <w:sz w:val="29"/>
        </w:rPr>
      </w:pPr>
    </w:p>
    <w:p>
      <w:pPr>
        <w:spacing w:after="0"/>
        <w:rPr>
          <w:sz w:val="29"/>
        </w:rPr>
        <w:sectPr>
          <w:type w:val="continuous"/>
          <w:pgSz w:w="12240" w:h="15840"/>
          <w:pgMar w:top="1200" w:bottom="280" w:left="1320" w:right="980"/>
        </w:sectPr>
      </w:pPr>
    </w:p>
    <w:p>
      <w:pPr>
        <w:pStyle w:val="BodyText"/>
        <w:spacing w:line="249" w:lineRule="auto" w:before="108"/>
        <w:ind w:left="103" w:right="21"/>
      </w:pPr>
      <w:r>
        <w:rPr/>
        <w:t>THIS AGREEMENT HAS BEEN LEGALLY REVIEWED AND APPROVED AS TO FORM AND CONTENT.</w:t>
      </w:r>
    </w:p>
    <w:p>
      <w:pPr>
        <w:pStyle w:val="BodyText"/>
        <w:rPr>
          <w:sz w:val="22"/>
        </w:rPr>
      </w:pPr>
    </w:p>
    <w:p>
      <w:pPr>
        <w:pStyle w:val="BodyText"/>
        <w:spacing w:before="10"/>
        <w:rPr>
          <w:sz w:val="23"/>
        </w:rPr>
      </w:pPr>
    </w:p>
    <w:p>
      <w:pPr>
        <w:pStyle w:val="BodyText"/>
        <w:ind w:left="120"/>
      </w:pPr>
      <w:r>
        <w:rPr/>
        <w:t>BY:</w:t>
      </w:r>
    </w:p>
    <w:p>
      <w:pPr>
        <w:pStyle w:val="BodyText"/>
        <w:spacing w:before="7"/>
        <w:rPr>
          <w:sz w:val="5"/>
        </w:rPr>
      </w:pPr>
    </w:p>
    <w:p>
      <w:pPr>
        <w:pStyle w:val="BodyText"/>
        <w:spacing w:line="20" w:lineRule="exact"/>
        <w:ind w:left="660" w:right="-821"/>
        <w:rPr>
          <w:sz w:val="2"/>
        </w:rPr>
      </w:pPr>
      <w:r>
        <w:rPr>
          <w:sz w:val="2"/>
        </w:rPr>
        <w:pict>
          <v:group style="width:198.1pt;height:.5pt;mso-position-horizontal-relative:char;mso-position-vertical-relative:line" coordorigin="0,0" coordsize="3962,10">
            <v:line style="position:absolute" from="0,5" to="3962,5" stroked="true" strokeweight=".48pt" strokecolor="#000000">
              <v:stroke dashstyle="solid"/>
            </v:line>
          </v:group>
        </w:pict>
      </w:r>
      <w:r>
        <w:rPr>
          <w:sz w:val="2"/>
        </w:rPr>
      </w:r>
    </w:p>
    <w:p>
      <w:pPr>
        <w:pStyle w:val="Heading2"/>
        <w:ind w:left="1915"/>
      </w:pPr>
      <w:r>
        <w:rPr/>
        <w:t>William F. Patty</w:t>
      </w:r>
    </w:p>
    <w:p>
      <w:pPr>
        <w:spacing w:line="208" w:lineRule="exact" w:before="71"/>
        <w:ind w:left="1987" w:right="0" w:firstLine="0"/>
        <w:jc w:val="left"/>
        <w:rPr>
          <w:sz w:val="22"/>
        </w:rPr>
      </w:pPr>
      <w:r>
        <w:rPr/>
        <w:pict>
          <v:line style="position:absolute;mso-position-horizontal-relative:page;mso-position-vertical-relative:paragraph;z-index:251670528" from="340.200012pt,12.353864pt" to="562.900012pt,12.353864pt" stroked="true" strokeweight=".48pt" strokecolor="#000000">
            <v:stroke dashstyle="solid"/>
            <w10:wrap type="none"/>
          </v:line>
        </w:pict>
      </w:r>
      <w:r>
        <w:rPr>
          <w:sz w:val="22"/>
        </w:rPr>
        <w:t>Chief Counsel,</w:t>
      </w:r>
    </w:p>
    <w:p>
      <w:pPr>
        <w:spacing w:before="91"/>
        <w:ind w:left="85" w:right="1616" w:firstLine="0"/>
        <w:jc w:val="center"/>
        <w:rPr>
          <w:sz w:val="22"/>
        </w:rPr>
      </w:pPr>
      <w:r>
        <w:rPr/>
        <w:br w:type="column"/>
      </w:r>
      <w:bookmarkStart w:name="(Typed Title)" w:id="7"/>
      <w:bookmarkEnd w:id="7"/>
      <w:r>
        <w:rPr/>
      </w:r>
      <w:r>
        <w:rPr>
          <w:sz w:val="22"/>
        </w:rPr>
        <w:t>(Typed Title)</w:t>
      </w:r>
    </w:p>
    <w:p>
      <w:pPr>
        <w:pStyle w:val="BodyText"/>
        <w:rPr>
          <w:sz w:val="24"/>
        </w:rPr>
      </w:pPr>
    </w:p>
    <w:p>
      <w:pPr>
        <w:pStyle w:val="BodyText"/>
        <w:spacing w:before="1"/>
        <w:rPr>
          <w:sz w:val="33"/>
        </w:rPr>
      </w:pPr>
    </w:p>
    <w:p>
      <w:pPr>
        <w:spacing w:before="1"/>
        <w:ind w:left="85" w:right="1614" w:firstLine="0"/>
        <w:jc w:val="center"/>
        <w:rPr>
          <w:sz w:val="22"/>
        </w:rPr>
      </w:pPr>
      <w:r>
        <w:rPr/>
        <w:pict>
          <v:line style="position:absolute;mso-position-horizontal-relative:page;mso-position-vertical-relative:paragraph;z-index:251668480" from="340.200012pt,-44.97047pt" to="562.900012pt,-44.97047pt" stroked="true" strokeweight=".48pt" strokecolor="#000000">
            <v:stroke dashstyle="solid"/>
            <w10:wrap type="none"/>
          </v:line>
        </w:pict>
      </w:r>
      <w:r>
        <w:rPr/>
        <w:pict>
          <v:line style="position:absolute;mso-position-horizontal-relative:page;mso-position-vertical-relative:paragraph;z-index:251669504" from="340.200012pt,.529529pt" to="562.900012pt,.529529pt" stroked="true" strokeweight=".48pt" strokecolor="#000000">
            <v:stroke dashstyle="solid"/>
            <w10:wrap type="none"/>
          </v:line>
        </w:pict>
      </w:r>
      <w:r>
        <w:rPr>
          <w:sz w:val="22"/>
        </w:rPr>
        <w:t>(Address)</w:t>
      </w:r>
    </w:p>
    <w:p>
      <w:pPr>
        <w:spacing w:after="0"/>
        <w:jc w:val="center"/>
        <w:rPr>
          <w:sz w:val="22"/>
        </w:rPr>
        <w:sectPr>
          <w:type w:val="continuous"/>
          <w:pgSz w:w="12240" w:h="15840"/>
          <w:pgMar w:top="1200" w:bottom="280" w:left="1320" w:right="980"/>
          <w:cols w:num="2" w:equalWidth="0">
            <w:col w:w="3866" w:space="3154"/>
            <w:col w:w="2920"/>
          </w:cols>
        </w:sectPr>
      </w:pPr>
    </w:p>
    <w:p>
      <w:pPr>
        <w:tabs>
          <w:tab w:pos="6688" w:val="left" w:leader="none"/>
        </w:tabs>
        <w:spacing w:line="352" w:lineRule="exact" w:before="0"/>
        <w:ind w:left="907" w:right="0" w:firstLine="0"/>
        <w:jc w:val="left"/>
        <w:rPr>
          <w:sz w:val="22"/>
        </w:rPr>
      </w:pPr>
      <w:bookmarkStart w:name="Alabama Department of Transportation" w:id="8"/>
      <w:bookmarkEnd w:id="8"/>
      <w:r>
        <w:rPr/>
      </w:r>
      <w:r>
        <w:rPr>
          <w:sz w:val="22"/>
        </w:rPr>
        <w:t>Alabama Department</w:t>
      </w:r>
      <w:r>
        <w:rPr>
          <w:spacing w:val="-5"/>
          <w:sz w:val="22"/>
        </w:rPr>
        <w:t> </w:t>
      </w:r>
      <w:r>
        <w:rPr>
          <w:sz w:val="22"/>
        </w:rPr>
        <w:t>of</w:t>
      </w:r>
      <w:r>
        <w:rPr>
          <w:spacing w:val="-1"/>
          <w:sz w:val="22"/>
        </w:rPr>
        <w:t> </w:t>
      </w:r>
      <w:r>
        <w:rPr>
          <w:sz w:val="22"/>
        </w:rPr>
        <w:t>Transportation</w:t>
        <w:tab/>
      </w:r>
      <w:r>
        <w:rPr>
          <w:position w:val="11"/>
          <w:sz w:val="22"/>
        </w:rPr>
        <w:t>(City, State, Zip</w:t>
      </w:r>
      <w:r>
        <w:rPr>
          <w:spacing w:val="-3"/>
          <w:position w:val="11"/>
          <w:sz w:val="22"/>
        </w:rPr>
        <w:t> </w:t>
      </w:r>
      <w:r>
        <w:rPr>
          <w:position w:val="11"/>
          <w:sz w:val="22"/>
        </w:rPr>
        <w:t>Code)</w:t>
      </w:r>
    </w:p>
    <w:p>
      <w:pPr>
        <w:pStyle w:val="BodyText"/>
      </w:pPr>
    </w:p>
    <w:p>
      <w:pPr>
        <w:pStyle w:val="BodyText"/>
      </w:pPr>
    </w:p>
    <w:p>
      <w:pPr>
        <w:spacing w:after="0"/>
        <w:sectPr>
          <w:type w:val="continuous"/>
          <w:pgSz w:w="12240" w:h="15840"/>
          <w:pgMar w:top="1200" w:bottom="280" w:left="1320" w:right="980"/>
        </w:sectPr>
      </w:pPr>
    </w:p>
    <w:p>
      <w:pPr>
        <w:pStyle w:val="BodyText"/>
        <w:rPr>
          <w:sz w:val="22"/>
        </w:rPr>
      </w:pPr>
    </w:p>
    <w:p>
      <w:pPr>
        <w:pStyle w:val="BodyText"/>
        <w:spacing w:line="249" w:lineRule="auto" w:before="133"/>
        <w:ind w:left="211" w:right="38" w:hanging="1"/>
        <w:jc w:val="center"/>
      </w:pPr>
      <w:r>
        <w:rPr/>
        <w:t>STATE OF ALABAMA DEPARTMENT OF TRANSPORTATION ACTING BY AND THROUGH ITS TRANSPORTATION DIRECTOR</w:t>
      </w:r>
    </w:p>
    <w:p>
      <w:pPr>
        <w:pStyle w:val="BodyText"/>
        <w:spacing w:before="1"/>
        <w:rPr>
          <w:sz w:val="23"/>
        </w:rPr>
      </w:pPr>
      <w:r>
        <w:rPr/>
        <w:br w:type="column"/>
      </w:r>
      <w:r>
        <w:rPr>
          <w:sz w:val="23"/>
        </w:rPr>
      </w:r>
    </w:p>
    <w:p>
      <w:pPr>
        <w:pStyle w:val="Heading2"/>
        <w:spacing w:before="1"/>
        <w:ind w:left="211"/>
      </w:pPr>
      <w:r>
        <w:rPr/>
        <w:pict>
          <v:line style="position:absolute;mso-position-horizontal-relative:page;mso-position-vertical-relative:paragraph;z-index:251671552" from="340.200012pt,-.420477pt" to="562.900012pt,-.420477pt" stroked="true" strokeweight=".48pt" strokecolor="#000000">
            <v:stroke dashstyle="solid"/>
            <w10:wrap type="none"/>
          </v:line>
        </w:pict>
      </w:r>
      <w:bookmarkStart w:name="(Telephone)" w:id="9"/>
      <w:bookmarkEnd w:id="9"/>
      <w:r>
        <w:rPr/>
      </w:r>
      <w:r>
        <w:rPr/>
        <w:t>(Telephone)</w:t>
      </w:r>
    </w:p>
    <w:p>
      <w:pPr>
        <w:spacing w:after="0"/>
        <w:sectPr>
          <w:type w:val="continuous"/>
          <w:pgSz w:w="12240" w:h="15840"/>
          <w:pgMar w:top="1200" w:bottom="280" w:left="1320" w:right="980"/>
          <w:cols w:num="2" w:equalWidth="0">
            <w:col w:w="4467" w:space="2495"/>
            <w:col w:w="2978"/>
          </w:cols>
        </w:sectPr>
      </w:pPr>
    </w:p>
    <w:p>
      <w:pPr>
        <w:pStyle w:val="BodyText"/>
      </w:pPr>
    </w:p>
    <w:p>
      <w:pPr>
        <w:pStyle w:val="BodyText"/>
      </w:pPr>
    </w:p>
    <w:p>
      <w:pPr>
        <w:pStyle w:val="BodyText"/>
        <w:spacing w:before="2"/>
        <w:rPr>
          <w:sz w:val="22"/>
        </w:rPr>
      </w:pPr>
    </w:p>
    <w:p>
      <w:pPr>
        <w:pStyle w:val="BodyText"/>
        <w:spacing w:line="20" w:lineRule="exact"/>
        <w:ind w:left="681"/>
        <w:rPr>
          <w:sz w:val="2"/>
        </w:rPr>
      </w:pPr>
      <w:r>
        <w:rPr>
          <w:sz w:val="2"/>
        </w:rPr>
        <w:pict>
          <v:group style="width:197.05pt;height:.5pt;mso-position-horizontal-relative:char;mso-position-vertical-relative:line" coordorigin="0,0" coordsize="3941,10">
            <v:line style="position:absolute" from="0,5" to="3941,5" stroked="true" strokeweight=".48pt" strokecolor="#000000">
              <v:stroke dashstyle="solid"/>
            </v:line>
          </v:group>
        </w:pict>
      </w:r>
      <w:r>
        <w:rPr>
          <w:sz w:val="2"/>
        </w:rPr>
      </w:r>
    </w:p>
    <w:p>
      <w:pPr>
        <w:spacing w:line="285" w:lineRule="auto" w:before="0"/>
        <w:ind w:left="1617" w:right="6219" w:firstLine="350"/>
        <w:jc w:val="left"/>
        <w:rPr>
          <w:sz w:val="22"/>
        </w:rPr>
      </w:pPr>
      <w:r>
        <w:rPr>
          <w:sz w:val="22"/>
        </w:rPr>
        <w:t>John R. Cooper Transportation Director</w:t>
      </w:r>
    </w:p>
    <w:p>
      <w:pPr>
        <w:pStyle w:val="BodyText"/>
        <w:spacing w:before="5"/>
        <w:rPr>
          <w:sz w:val="31"/>
        </w:rPr>
      </w:pPr>
    </w:p>
    <w:p>
      <w:pPr>
        <w:pStyle w:val="BodyText"/>
        <w:tabs>
          <w:tab w:pos="6105" w:val="left" w:leader="none"/>
          <w:tab w:pos="8551" w:val="left" w:leader="none"/>
          <w:tab w:pos="9659" w:val="left" w:leader="none"/>
        </w:tabs>
        <w:ind w:left="120"/>
      </w:pPr>
      <w:r>
        <w:rPr/>
        <w:t>The within and foregoing Agreement is hereby approved</w:t>
      </w:r>
      <w:r>
        <w:rPr>
          <w:spacing w:val="-34"/>
        </w:rPr>
        <w:t> </w:t>
      </w:r>
      <w:r>
        <w:rPr/>
        <w:t>on</w:t>
      </w:r>
      <w:r>
        <w:rPr>
          <w:spacing w:val="-6"/>
        </w:rPr>
        <w:t> </w:t>
      </w:r>
      <w:r>
        <w:rPr/>
        <w:t>this</w:t>
      </w:r>
      <w:r>
        <w:rPr>
          <w:u w:val="single"/>
        </w:rPr>
        <w:t> </w:t>
        <w:tab/>
      </w:r>
      <w:r>
        <w:rPr/>
        <w:t>day</w:t>
      </w:r>
      <w:r>
        <w:rPr>
          <w:spacing w:val="-4"/>
        </w:rPr>
        <w:t> </w:t>
      </w:r>
      <w:r>
        <w:rPr/>
        <w:t>of</w:t>
      </w:r>
      <w:r>
        <w:rPr>
          <w:u w:val="single"/>
        </w:rPr>
        <w:t> </w:t>
        <w:tab/>
      </w:r>
      <w:r>
        <w:rPr/>
        <w:t>,</w:t>
      </w:r>
      <w:r>
        <w:rPr>
          <w:spacing w:val="2"/>
        </w:rPr>
        <w:t> </w:t>
      </w:r>
      <w:r>
        <w:rPr/>
        <w:t>20</w:t>
      </w:r>
      <w:r>
        <w:rPr>
          <w:u w:val="single"/>
        </w:rPr>
        <w:t> </w:t>
        <w:tab/>
      </w:r>
      <w:r>
        <w:rPr/>
        <w:t>.</w:t>
      </w:r>
    </w:p>
    <w:p>
      <w:pPr>
        <w:pStyle w:val="BodyText"/>
      </w:pPr>
    </w:p>
    <w:p>
      <w:pPr>
        <w:pStyle w:val="BodyText"/>
      </w:pPr>
    </w:p>
    <w:p>
      <w:pPr>
        <w:pStyle w:val="BodyText"/>
      </w:pPr>
    </w:p>
    <w:p>
      <w:pPr>
        <w:pStyle w:val="BodyText"/>
        <w:rPr>
          <w:sz w:val="26"/>
        </w:rPr>
      </w:pPr>
    </w:p>
    <w:p>
      <w:pPr>
        <w:pStyle w:val="Heading2"/>
        <w:spacing w:before="92"/>
        <w:ind w:left="0" w:right="2082"/>
        <w:jc w:val="right"/>
      </w:pPr>
      <w:r>
        <w:rPr/>
        <w:pict>
          <v:line style="position:absolute;mso-position-horizontal-relative:page;mso-position-vertical-relative:paragraph;z-index:251661312" from="310.899994pt,5.51953pt" to="562.899994pt,5.51953pt" stroked="true" strokeweight=".48pt" strokecolor="#000000">
            <v:stroke dashstyle="solid"/>
            <w10:wrap type="none"/>
          </v:line>
        </w:pict>
      </w:r>
      <w:r>
        <w:rPr/>
        <w:t>Kay Ivey</w:t>
      </w:r>
    </w:p>
    <w:p>
      <w:pPr>
        <w:pStyle w:val="BodyText"/>
        <w:spacing w:line="254" w:lineRule="auto" w:before="34"/>
        <w:ind w:left="6419" w:right="1512" w:firstLine="472"/>
      </w:pPr>
      <w:r>
        <w:rPr/>
        <w:t>GOVERNOR STATE OF ALABAMA</w:t>
      </w:r>
    </w:p>
    <w:sectPr>
      <w:type w:val="continuous"/>
      <w:pgSz w:w="12240" w:h="15840"/>
      <w:pgMar w:top="1200" w:bottom="280" w:left="1320" w:right="9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rect style="position:absolute;margin-left:0pt;margin-top:47.999001pt;width:612pt;height:12.001pt;mso-position-horizontal-relative:page;mso-position-vertical-relative:page;z-index:-251919360" filled="true" fillcolor="#e6e6e6" stroked="false">
          <v:fill type="solid"/>
          <w10:wrap type="none"/>
        </v:rect>
      </w:pict>
    </w:r>
    <w:r>
      <w:rPr/>
      <w:pict>
        <v:shapetype id="_x0000_t202" o:spt="202" coordsize="21600,21600" path="m,l,21600r21600,l21600,xe">
          <v:stroke joinstyle="miter"/>
          <v:path gradientshapeok="t" o:connecttype="rect"/>
        </v:shapetype>
        <v:shape style="position:absolute;margin-left:58.759998pt;margin-top:37.435448pt;width:60.75pt;height:23.05pt;mso-position-horizontal-relative:page;mso-position-vertical-relative:page;z-index:-251918336" type="#_x0000_t202" filled="false" stroked="false">
          <v:textbox inset="0,0,0,0">
            <w:txbxContent>
              <w:p>
                <w:pPr>
                  <w:spacing w:before="14"/>
                  <w:ind w:left="20" w:right="0" w:firstLine="0"/>
                  <w:jc w:val="left"/>
                  <w:rPr>
                    <w:b/>
                    <w:sz w:val="16"/>
                  </w:rPr>
                </w:pPr>
                <w:r>
                  <w:rPr>
                    <w:b/>
                    <w:sz w:val="16"/>
                  </w:rPr>
                  <w:t>REVISED</w:t>
                </w:r>
              </w:p>
              <w:p>
                <w:pPr>
                  <w:spacing w:before="58"/>
                  <w:ind w:left="24" w:right="0" w:firstLine="0"/>
                  <w:jc w:val="left"/>
                  <w:rPr>
                    <w:b/>
                    <w:sz w:val="16"/>
                  </w:rPr>
                </w:pPr>
                <w:r>
                  <w:rPr>
                    <w:b/>
                    <w:sz w:val="16"/>
                  </w:rPr>
                  <w:t>January 24, 2023</w:t>
                </w:r>
              </w:p>
            </w:txbxContent>
          </v:textbox>
          <w10:wrap type="none"/>
        </v:shape>
      </w:pict>
    </w:r>
    <w:r>
      <w:rPr/>
      <w:pict>
        <v:shape style="position:absolute;margin-left:497pt;margin-top:37.435448pt;width:43.95pt;height:23.05pt;mso-position-horizontal-relative:page;mso-position-vertical-relative:page;z-index:-251917312" type="#_x0000_t202" filled="false" stroked="false">
          <v:textbox inset="0,0,0,0">
            <w:txbxContent>
              <w:p>
                <w:pPr>
                  <w:spacing w:before="14"/>
                  <w:ind w:left="20" w:right="0" w:firstLine="0"/>
                  <w:jc w:val="left"/>
                  <w:rPr>
                    <w:b/>
                    <w:sz w:val="16"/>
                  </w:rPr>
                </w:pPr>
                <w:r>
                  <w:rPr>
                    <w:b/>
                    <w:sz w:val="16"/>
                  </w:rPr>
                  <w:t>SAHD No. 3</w:t>
                </w:r>
              </w:p>
              <w:p>
                <w:pPr>
                  <w:spacing w:before="58"/>
                  <w:ind w:left="75" w:right="0" w:firstLine="0"/>
                  <w:jc w:val="left"/>
                  <w:rPr>
                    <w:b/>
                    <w:sz w:val="16"/>
                  </w:rPr>
                </w:pPr>
                <w:r>
                  <w:rPr>
                    <w:b/>
                    <w:sz w:val="16"/>
                  </w:rPr>
                  <w:t>Page </w:t>
                </w:r>
                <w:r>
                  <w:rPr/>
                  <w:fldChar w:fldCharType="begin"/>
                </w:r>
                <w:r>
                  <w:rPr>
                    <w:b/>
                    <w:sz w:val="16"/>
                  </w:rPr>
                  <w:instrText> PAGE </w:instrText>
                </w:r>
                <w:r>
                  <w:rPr/>
                  <w:fldChar w:fldCharType="separate"/>
                </w:r>
                <w:r>
                  <w:rPr/>
                  <w:t>1</w:t>
                </w:r>
                <w:r>
                  <w:rPr/>
                  <w:fldChar w:fldCharType="end"/>
                </w:r>
                <w:r>
                  <w:rPr>
                    <w:b/>
                    <w:sz w:val="16"/>
                  </w:rPr>
                  <w:t> of 6</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19" w:hanging="651"/>
        <w:jc w:val="left"/>
      </w:pPr>
      <w:rPr>
        <w:rFonts w:hint="default" w:ascii="Times New Roman" w:hAnsi="Times New Roman" w:eastAsia="Times New Roman" w:cs="Times New Roman"/>
        <w:w w:val="96"/>
        <w:sz w:val="20"/>
        <w:szCs w:val="20"/>
        <w:lang w:val="en-us" w:eastAsia="en-us" w:bidi="en-us"/>
      </w:rPr>
    </w:lvl>
    <w:lvl w:ilvl="1">
      <w:start w:val="0"/>
      <w:numFmt w:val="bullet"/>
      <w:lvlText w:val="•"/>
      <w:lvlJc w:val="left"/>
      <w:pPr>
        <w:ind w:left="1102" w:hanging="651"/>
      </w:pPr>
      <w:rPr>
        <w:rFonts w:hint="default"/>
        <w:lang w:val="en-us" w:eastAsia="en-us" w:bidi="en-us"/>
      </w:rPr>
    </w:lvl>
    <w:lvl w:ilvl="2">
      <w:start w:val="0"/>
      <w:numFmt w:val="bullet"/>
      <w:lvlText w:val="•"/>
      <w:lvlJc w:val="left"/>
      <w:pPr>
        <w:ind w:left="2084" w:hanging="651"/>
      </w:pPr>
      <w:rPr>
        <w:rFonts w:hint="default"/>
        <w:lang w:val="en-us" w:eastAsia="en-us" w:bidi="en-us"/>
      </w:rPr>
    </w:lvl>
    <w:lvl w:ilvl="3">
      <w:start w:val="0"/>
      <w:numFmt w:val="bullet"/>
      <w:lvlText w:val="•"/>
      <w:lvlJc w:val="left"/>
      <w:pPr>
        <w:ind w:left="3066" w:hanging="651"/>
      </w:pPr>
      <w:rPr>
        <w:rFonts w:hint="default"/>
        <w:lang w:val="en-us" w:eastAsia="en-us" w:bidi="en-us"/>
      </w:rPr>
    </w:lvl>
    <w:lvl w:ilvl="4">
      <w:start w:val="0"/>
      <w:numFmt w:val="bullet"/>
      <w:lvlText w:val="•"/>
      <w:lvlJc w:val="left"/>
      <w:pPr>
        <w:ind w:left="4048" w:hanging="651"/>
      </w:pPr>
      <w:rPr>
        <w:rFonts w:hint="default"/>
        <w:lang w:val="en-us" w:eastAsia="en-us" w:bidi="en-us"/>
      </w:rPr>
    </w:lvl>
    <w:lvl w:ilvl="5">
      <w:start w:val="0"/>
      <w:numFmt w:val="bullet"/>
      <w:lvlText w:val="•"/>
      <w:lvlJc w:val="left"/>
      <w:pPr>
        <w:ind w:left="5030" w:hanging="651"/>
      </w:pPr>
      <w:rPr>
        <w:rFonts w:hint="default"/>
        <w:lang w:val="en-us" w:eastAsia="en-us" w:bidi="en-us"/>
      </w:rPr>
    </w:lvl>
    <w:lvl w:ilvl="6">
      <w:start w:val="0"/>
      <w:numFmt w:val="bullet"/>
      <w:lvlText w:val="•"/>
      <w:lvlJc w:val="left"/>
      <w:pPr>
        <w:ind w:left="6012" w:hanging="651"/>
      </w:pPr>
      <w:rPr>
        <w:rFonts w:hint="default"/>
        <w:lang w:val="en-us" w:eastAsia="en-us" w:bidi="en-us"/>
      </w:rPr>
    </w:lvl>
    <w:lvl w:ilvl="7">
      <w:start w:val="0"/>
      <w:numFmt w:val="bullet"/>
      <w:lvlText w:val="•"/>
      <w:lvlJc w:val="left"/>
      <w:pPr>
        <w:ind w:left="6994" w:hanging="651"/>
      </w:pPr>
      <w:rPr>
        <w:rFonts w:hint="default"/>
        <w:lang w:val="en-us" w:eastAsia="en-us" w:bidi="en-us"/>
      </w:rPr>
    </w:lvl>
    <w:lvl w:ilvl="8">
      <w:start w:val="0"/>
      <w:numFmt w:val="bullet"/>
      <w:lvlText w:val="•"/>
      <w:lvlJc w:val="left"/>
      <w:pPr>
        <w:ind w:left="7976" w:hanging="651"/>
      </w:pPr>
      <w:rPr>
        <w:rFonts w:hint="default"/>
        <w:lang w:val="en-us" w:eastAsia="en-us" w:bidi="en-us"/>
      </w:rPr>
    </w:lvl>
  </w:abstractNum>
  <w:abstractNum w:abstractNumId="0">
    <w:multiLevelType w:val="hybridMultilevel"/>
    <w:lvl w:ilvl="0">
      <w:start w:val="1"/>
      <w:numFmt w:val="decimal"/>
      <w:lvlText w:val="%1."/>
      <w:lvlJc w:val="left"/>
      <w:pPr>
        <w:ind w:left="119" w:hanging="548"/>
        <w:jc w:val="left"/>
      </w:pPr>
      <w:rPr>
        <w:rFonts w:hint="default" w:ascii="Times New Roman" w:hAnsi="Times New Roman" w:eastAsia="Times New Roman" w:cs="Times New Roman"/>
        <w:spacing w:val="0"/>
        <w:w w:val="96"/>
        <w:sz w:val="20"/>
        <w:szCs w:val="20"/>
        <w:lang w:val="en-us" w:eastAsia="en-us" w:bidi="en-us"/>
      </w:rPr>
    </w:lvl>
    <w:lvl w:ilvl="1">
      <w:start w:val="1"/>
      <w:numFmt w:val="lowerLetter"/>
      <w:lvlText w:val="%2."/>
      <w:lvlJc w:val="left"/>
      <w:pPr>
        <w:ind w:left="120" w:hanging="648"/>
        <w:jc w:val="left"/>
      </w:pPr>
      <w:rPr>
        <w:rFonts w:hint="default" w:ascii="Times New Roman" w:hAnsi="Times New Roman" w:eastAsia="Times New Roman" w:cs="Times New Roman"/>
        <w:w w:val="96"/>
        <w:sz w:val="20"/>
        <w:szCs w:val="20"/>
        <w:lang w:val="en-us" w:eastAsia="en-us" w:bidi="en-us"/>
      </w:rPr>
    </w:lvl>
    <w:lvl w:ilvl="2">
      <w:start w:val="0"/>
      <w:numFmt w:val="bullet"/>
      <w:lvlText w:val="•"/>
      <w:lvlJc w:val="left"/>
      <w:pPr>
        <w:ind w:left="2544" w:hanging="648"/>
      </w:pPr>
      <w:rPr>
        <w:rFonts w:hint="default"/>
        <w:lang w:val="en-us" w:eastAsia="en-us" w:bidi="en-us"/>
      </w:rPr>
    </w:lvl>
    <w:lvl w:ilvl="3">
      <w:start w:val="0"/>
      <w:numFmt w:val="bullet"/>
      <w:lvlText w:val="•"/>
      <w:lvlJc w:val="left"/>
      <w:pPr>
        <w:ind w:left="3468" w:hanging="648"/>
      </w:pPr>
      <w:rPr>
        <w:rFonts w:hint="default"/>
        <w:lang w:val="en-us" w:eastAsia="en-us" w:bidi="en-us"/>
      </w:rPr>
    </w:lvl>
    <w:lvl w:ilvl="4">
      <w:start w:val="0"/>
      <w:numFmt w:val="bullet"/>
      <w:lvlText w:val="•"/>
      <w:lvlJc w:val="left"/>
      <w:pPr>
        <w:ind w:left="4393" w:hanging="648"/>
      </w:pPr>
      <w:rPr>
        <w:rFonts w:hint="default"/>
        <w:lang w:val="en-us" w:eastAsia="en-us" w:bidi="en-us"/>
      </w:rPr>
    </w:lvl>
    <w:lvl w:ilvl="5">
      <w:start w:val="0"/>
      <w:numFmt w:val="bullet"/>
      <w:lvlText w:val="•"/>
      <w:lvlJc w:val="left"/>
      <w:pPr>
        <w:ind w:left="5317" w:hanging="648"/>
      </w:pPr>
      <w:rPr>
        <w:rFonts w:hint="default"/>
        <w:lang w:val="en-us" w:eastAsia="en-us" w:bidi="en-us"/>
      </w:rPr>
    </w:lvl>
    <w:lvl w:ilvl="6">
      <w:start w:val="0"/>
      <w:numFmt w:val="bullet"/>
      <w:lvlText w:val="•"/>
      <w:lvlJc w:val="left"/>
      <w:pPr>
        <w:ind w:left="6242" w:hanging="648"/>
      </w:pPr>
      <w:rPr>
        <w:rFonts w:hint="default"/>
        <w:lang w:val="en-us" w:eastAsia="en-us" w:bidi="en-us"/>
      </w:rPr>
    </w:lvl>
    <w:lvl w:ilvl="7">
      <w:start w:val="0"/>
      <w:numFmt w:val="bullet"/>
      <w:lvlText w:val="•"/>
      <w:lvlJc w:val="left"/>
      <w:pPr>
        <w:ind w:left="7166" w:hanging="648"/>
      </w:pPr>
      <w:rPr>
        <w:rFonts w:hint="default"/>
        <w:lang w:val="en-us" w:eastAsia="en-us" w:bidi="en-us"/>
      </w:rPr>
    </w:lvl>
    <w:lvl w:ilvl="8">
      <w:start w:val="0"/>
      <w:numFmt w:val="bullet"/>
      <w:lvlText w:val="•"/>
      <w:lvlJc w:val="left"/>
      <w:pPr>
        <w:ind w:left="8091" w:hanging="648"/>
      </w:pPr>
      <w:rPr>
        <w:rFonts w:hint="default"/>
        <w:lang w:val="en-us" w:eastAsia="en-us" w:bidi="en-us"/>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en-us"/>
    </w:rPr>
  </w:style>
  <w:style w:styleId="Heading1" w:type="paragraph">
    <w:name w:val="Heading 1"/>
    <w:basedOn w:val="Normal"/>
    <w:uiPriority w:val="1"/>
    <w:qFormat/>
    <w:pPr>
      <w:ind w:left="2239" w:right="340"/>
      <w:jc w:val="center"/>
      <w:outlineLvl w:val="1"/>
    </w:pPr>
    <w:rPr>
      <w:rFonts w:ascii="Times New Roman" w:hAnsi="Times New Roman" w:eastAsia="Times New Roman" w:cs="Times New Roman"/>
      <w:b/>
      <w:bCs/>
      <w:sz w:val="24"/>
      <w:szCs w:val="24"/>
      <w:lang w:val="en-us" w:eastAsia="en-us" w:bidi="en-us"/>
    </w:rPr>
  </w:style>
  <w:style w:styleId="Heading2" w:type="paragraph">
    <w:name w:val="Heading 2"/>
    <w:basedOn w:val="Normal"/>
    <w:uiPriority w:val="1"/>
    <w:qFormat/>
    <w:pPr>
      <w:ind w:left="120"/>
      <w:outlineLvl w:val="2"/>
    </w:pPr>
    <w:rPr>
      <w:rFonts w:ascii="Times New Roman" w:hAnsi="Times New Roman" w:eastAsia="Times New Roman" w:cs="Times New Roman"/>
      <w:sz w:val="22"/>
      <w:szCs w:val="22"/>
      <w:lang w:val="en-us" w:eastAsia="en-us" w:bidi="en-us"/>
    </w:rPr>
  </w:style>
  <w:style w:styleId="ListParagraph" w:type="paragraph">
    <w:name w:val="List Paragraph"/>
    <w:basedOn w:val="Normal"/>
    <w:uiPriority w:val="1"/>
    <w:qFormat/>
    <w:pPr>
      <w:ind w:left="120" w:right="457" w:firstLine="1149"/>
      <w:jc w:val="both"/>
    </w:pPr>
    <w:rPr>
      <w:rFonts w:ascii="Times New Roman" w:hAnsi="Times New Roman" w:eastAsia="Times New Roman" w:cs="Times New Roman"/>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Design Bureau</dc:creator>
  <dc:title>REIMBURSABLE AGREEMENT</dc:title>
  <dcterms:created xsi:type="dcterms:W3CDTF">2023-03-20T14:43:10Z</dcterms:created>
  <dcterms:modified xsi:type="dcterms:W3CDTF">2023-03-20T14:43:10Z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2023-01-24T00:00:00Z</vt:filetime>
  </property>
  <property fmtid="{D5CDD505-2E9C-101B-9397-08002B2CF9AE}" pid="3" name="Creator">
    <vt:lpwstr>Acrobat PDFMaker 17 for Word</vt:lpwstr>
  </property>
  <property fmtid="{D5CDD505-2E9C-101B-9397-08002B2CF9AE}" pid="4" name="LastSaved">
    <vt:filetime>2023-03-20T00:00:00Z</vt:filetime>
  </property>
</Properties>
</file>